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F2B" w14:textId="77777777" w:rsidR="002B5122" w:rsidRPr="00EB4E92" w:rsidRDefault="00737F4E" w:rsidP="00EB4E92">
      <w:pPr>
        <w:rPr>
          <w:b/>
        </w:rPr>
      </w:pPr>
      <w:r>
        <w:rPr>
          <w:b/>
        </w:rPr>
        <w:t>S</w:t>
      </w:r>
      <w:r w:rsidR="00546EC5" w:rsidRPr="00EB4E92">
        <w:rPr>
          <w:b/>
        </w:rPr>
        <w:t>e</w:t>
      </w:r>
      <w:r w:rsidR="002B5122" w:rsidRPr="00EB4E92">
        <w:rPr>
          <w:b/>
        </w:rPr>
        <w:t>ction 3.4.1 – Odds ratios</w:t>
      </w:r>
    </w:p>
    <w:p w14:paraId="5EDD9D26" w14:textId="77777777" w:rsidR="002B5122" w:rsidRPr="00EB4E92" w:rsidRDefault="002B5122" w:rsidP="00EB4E92"/>
    <w:p w14:paraId="76E2B469" w14:textId="77777777" w:rsidR="00EB4E92" w:rsidRDefault="00EB4E92" w:rsidP="00EB4E92">
      <w:pPr>
        <w:ind w:left="720"/>
      </w:pPr>
      <w:r w:rsidRPr="00EB4E92">
        <w:t xml:space="preserve">Odds ratios are easily formed because the proportional odds </w:t>
      </w:r>
      <w:r w:rsidR="000D7B09">
        <w:t xml:space="preserve">regression </w:t>
      </w:r>
      <w:r w:rsidRPr="00EB4E92">
        <w:t xml:space="preserve">model equates log-odds to the linear predictor. </w:t>
      </w:r>
      <w:r>
        <w:t>The main difference now is the odds involve cumulative probabilities.</w:t>
      </w:r>
    </w:p>
    <w:p w14:paraId="723018C7" w14:textId="77777777" w:rsidR="00EB4E92" w:rsidRDefault="00EB4E92" w:rsidP="00EB4E92">
      <w:pPr>
        <w:ind w:left="720"/>
      </w:pPr>
    </w:p>
    <w:p w14:paraId="3A337537" w14:textId="77777777" w:rsidR="00EB4E92" w:rsidRDefault="00EB4E92" w:rsidP="00EB4E92">
      <w:pPr>
        <w:ind w:left="720"/>
      </w:pPr>
      <w:r>
        <w:t xml:space="preserve">Consider the model again of </w:t>
      </w:r>
    </w:p>
    <w:p w14:paraId="6324A09C" w14:textId="77777777" w:rsidR="00EB4E92" w:rsidRDefault="00EB4E92" w:rsidP="00EB4E92">
      <w:pPr>
        <w:ind w:left="720"/>
      </w:pPr>
    </w:p>
    <w:p w14:paraId="0F327484" w14:textId="77777777" w:rsidR="00EB4E92" w:rsidRDefault="00EB4E92" w:rsidP="00EB4E92">
      <w:pPr>
        <w:ind w:left="720"/>
      </w:pPr>
      <w:r>
        <w:t xml:space="preserve">       </w:t>
      </w:r>
      <w:r w:rsidRPr="0087338B">
        <w:rPr>
          <w:position w:val="-14"/>
        </w:rPr>
        <w:object w:dxaOrig="4160" w:dyaOrig="499" w14:anchorId="5E1F5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24pt" o:ole="">
            <v:imagedata r:id="rId8" o:title=""/>
          </v:shape>
          <o:OLEObject Type="Embed" ProgID="Equation.DSMT4" ShapeID="_x0000_i1025" DrawAspect="Content" ObjectID="_1735299655" r:id="rId9"/>
        </w:object>
      </w:r>
    </w:p>
    <w:p w14:paraId="1DAC9863" w14:textId="77777777" w:rsidR="00EB4E92" w:rsidRDefault="00EB4E92" w:rsidP="00EB4E92">
      <w:pPr>
        <w:ind w:left="720"/>
      </w:pPr>
    </w:p>
    <w:p w14:paraId="015EDCCB" w14:textId="77777777" w:rsidR="00EB4E92" w:rsidRDefault="00EB4E92" w:rsidP="00EB4E92">
      <w:pPr>
        <w:ind w:left="720"/>
      </w:pPr>
      <w:r>
        <w:t xml:space="preserve">The odds ratio is </w:t>
      </w:r>
    </w:p>
    <w:p w14:paraId="2F490E85" w14:textId="77777777" w:rsidR="00EB4E92" w:rsidRDefault="00EB4E92" w:rsidP="00EB4E92">
      <w:pPr>
        <w:ind w:left="720"/>
      </w:pPr>
    </w:p>
    <w:p w14:paraId="20BED5B1" w14:textId="77777777" w:rsidR="00EB4E92" w:rsidRDefault="007F2AA0" w:rsidP="00EB4E92">
      <w:pPr>
        <w:ind w:left="1440"/>
      </w:pPr>
      <w:r w:rsidRPr="007F2AA0">
        <w:rPr>
          <w:position w:val="-46"/>
        </w:rPr>
        <w:object w:dxaOrig="8220" w:dyaOrig="1080" w14:anchorId="730FCCAF">
          <v:shape id="_x0000_i1026" type="#_x0000_t75" style="width:410.25pt;height:54pt" o:ole="">
            <v:imagedata r:id="rId10" o:title=""/>
          </v:shape>
          <o:OLEObject Type="Embed" ProgID="Equation.DSMT4" ShapeID="_x0000_i1026" DrawAspect="Content" ObjectID="_1735299656" r:id="rId11"/>
        </w:object>
      </w:r>
    </w:p>
    <w:p w14:paraId="5418B051" w14:textId="77777777" w:rsidR="00EB4E92" w:rsidRDefault="00EB4E92" w:rsidP="00EB4E92">
      <w:pPr>
        <w:ind w:left="720"/>
      </w:pPr>
    </w:p>
    <w:p w14:paraId="523100C8" w14:textId="77777777" w:rsidR="00EB4E92" w:rsidRDefault="00EB4E92" w:rsidP="00EB4E92">
      <w:pPr>
        <w:ind w:left="720"/>
      </w:pPr>
      <w:r>
        <w:t xml:space="preserve">where </w:t>
      </w:r>
      <w:r w:rsidRPr="00EB4E92">
        <w:rPr>
          <w:position w:val="-14"/>
        </w:rPr>
        <w:object w:dxaOrig="2280" w:dyaOrig="499" w14:anchorId="402C4F68">
          <v:shape id="_x0000_i1027" type="#_x0000_t75" style="width:115.5pt;height:24pt" o:ole="">
            <v:imagedata r:id="rId12" o:title=""/>
          </v:shape>
          <o:OLEObject Type="Embed" ProgID="Equation.DSMT4" ShapeID="_x0000_i1027" DrawAspect="Content" ObjectID="_1735299657" r:id="rId13"/>
        </w:object>
      </w:r>
      <w:r>
        <w:t xml:space="preserve"> </w:t>
      </w:r>
      <w:r w:rsidRPr="00EB4E92">
        <w:t>denote</w:t>
      </w:r>
      <w:r>
        <w:t>s</w:t>
      </w:r>
      <w:r w:rsidRPr="00EB4E92">
        <w:t xml:space="preserve"> th</w:t>
      </w:r>
      <w:r>
        <w:t>e odds of observing category j or smaller for Y</w:t>
      </w:r>
      <w:r w:rsidRPr="00EB4E92">
        <w:t xml:space="preserve">. </w:t>
      </w:r>
      <w:r>
        <w:t xml:space="preserve">The formal interpretation of the odds ratio is </w:t>
      </w:r>
    </w:p>
    <w:p w14:paraId="3CF7E9A6" w14:textId="77777777" w:rsidR="00EB4E92" w:rsidRDefault="00EB4E92" w:rsidP="00EB4E92">
      <w:pPr>
        <w:ind w:left="720"/>
      </w:pPr>
    </w:p>
    <w:p w14:paraId="0DCB5BDA" w14:textId="77777777" w:rsidR="00781F8D" w:rsidRDefault="00781F8D" w:rsidP="00781F8D">
      <w:pPr>
        <w:ind w:left="1440"/>
      </w:pPr>
      <w:r>
        <w:t xml:space="preserve">The odds of Y </w:t>
      </w:r>
      <w:r>
        <w:sym w:font="Symbol" w:char="F0A3"/>
      </w:r>
      <w:r>
        <w:t xml:space="preserve"> j vs. Y &gt; j are exp(</w:t>
      </w:r>
      <w:r w:rsidR="000D7B09">
        <w:t>c</w:t>
      </w:r>
      <w:r>
        <w:sym w:font="Symbol" w:char="F062"/>
      </w:r>
      <w:r>
        <w:rPr>
          <w:vertAlign w:val="subscript"/>
        </w:rPr>
        <w:t>1</w:t>
      </w:r>
      <w:r>
        <w:t xml:space="preserve">) times as large for a c-unit increase in x. </w:t>
      </w:r>
    </w:p>
    <w:p w14:paraId="4D8F65CE" w14:textId="77777777" w:rsidR="00781F8D" w:rsidRDefault="00781F8D" w:rsidP="00EB4E92">
      <w:pPr>
        <w:ind w:left="1440"/>
      </w:pPr>
    </w:p>
    <w:p w14:paraId="11415EBD" w14:textId="77777777" w:rsidR="00781F8D" w:rsidRDefault="00781F8D" w:rsidP="00781F8D">
      <w:pPr>
        <w:ind w:left="720"/>
      </w:pPr>
      <w:r>
        <w:t>We can also use</w:t>
      </w:r>
    </w:p>
    <w:p w14:paraId="13DC3667" w14:textId="77777777" w:rsidR="00781F8D" w:rsidRDefault="00781F8D" w:rsidP="00EB4E92">
      <w:pPr>
        <w:ind w:left="1440"/>
      </w:pPr>
    </w:p>
    <w:p w14:paraId="021FDAAC" w14:textId="77777777" w:rsidR="00EB4E92" w:rsidRDefault="00EB4E92" w:rsidP="00781F8D">
      <w:pPr>
        <w:ind w:left="1440"/>
      </w:pPr>
      <w:r>
        <w:t xml:space="preserve">The odds of Y </w:t>
      </w:r>
      <w:r>
        <w:sym w:font="Symbol" w:char="F0A3"/>
      </w:r>
      <w:r>
        <w:t xml:space="preserve"> j vs. Y &gt; j change by exp(</w:t>
      </w:r>
      <w:r w:rsidR="000D7B09">
        <w:t>c</w:t>
      </w:r>
      <w:r>
        <w:sym w:font="Symbol" w:char="F062"/>
      </w:r>
      <w:r>
        <w:rPr>
          <w:vertAlign w:val="subscript"/>
        </w:rPr>
        <w:t>1</w:t>
      </w:r>
      <w:r>
        <w:t xml:space="preserve">) times for </w:t>
      </w:r>
      <w:r w:rsidR="00781F8D">
        <w:t xml:space="preserve">every </w:t>
      </w:r>
      <w:r>
        <w:t xml:space="preserve">c-unit increase in x. </w:t>
      </w:r>
    </w:p>
    <w:p w14:paraId="1B14B661" w14:textId="77777777" w:rsidR="00EB4E92" w:rsidRDefault="00EB4E92" w:rsidP="00EB4E92">
      <w:pPr>
        <w:ind w:left="720"/>
      </w:pPr>
    </w:p>
    <w:p w14:paraId="04A55C12" w14:textId="77777777" w:rsidR="00EB4E92" w:rsidRDefault="00EB4E92" w:rsidP="00EB4E92">
      <w:pPr>
        <w:ind w:left="720"/>
      </w:pPr>
      <w:r w:rsidRPr="00781F8D">
        <w:rPr>
          <w:b/>
        </w:rPr>
        <w:lastRenderedPageBreak/>
        <w:t>Interestingly, this odds ratio stays the same no matter what</w:t>
      </w:r>
      <w:r w:rsidR="00B30783" w:rsidRPr="00781F8D">
        <w:rPr>
          <w:b/>
        </w:rPr>
        <w:t xml:space="preserve"> response category is used for j</w:t>
      </w:r>
      <w:r w:rsidRPr="00781F8D">
        <w:rPr>
          <w:b/>
        </w:rPr>
        <w:t>.</w:t>
      </w:r>
      <w:r>
        <w:t xml:space="preserve"> This is again due the absence of a j subscript on </w:t>
      </w:r>
      <w:r w:rsidR="00B30783">
        <w:sym w:font="Symbol" w:char="F062"/>
      </w:r>
      <w:r w:rsidR="00B30783">
        <w:rPr>
          <w:vertAlign w:val="subscript"/>
        </w:rPr>
        <w:t>1</w:t>
      </w:r>
      <w:r w:rsidR="00B30783" w:rsidRPr="00B30783">
        <w:t xml:space="preserve"> </w:t>
      </w:r>
      <w:r>
        <w:t>in the model.</w:t>
      </w:r>
      <w:r w:rsidR="00781F8D">
        <w:t xml:space="preserve"> We can then modify the interpretations to be</w:t>
      </w:r>
    </w:p>
    <w:p w14:paraId="56C9C4D4" w14:textId="77777777" w:rsidR="00781F8D" w:rsidRDefault="00781F8D" w:rsidP="00781F8D">
      <w:pPr>
        <w:ind w:left="720"/>
      </w:pPr>
    </w:p>
    <w:p w14:paraId="1590CBE4" w14:textId="77777777" w:rsidR="00781F8D" w:rsidRDefault="00781F8D" w:rsidP="00781F8D">
      <w:pPr>
        <w:ind w:left="1440"/>
      </w:pPr>
      <w:r>
        <w:t>The odds of Y being below a particular level are exp(</w:t>
      </w:r>
      <w:r w:rsidR="000D7B09">
        <w:t>c</w:t>
      </w:r>
      <w:r>
        <w:sym w:font="Symbol" w:char="F062"/>
      </w:r>
      <w:r>
        <w:rPr>
          <w:vertAlign w:val="subscript"/>
        </w:rPr>
        <w:t>1</w:t>
      </w:r>
      <w:r>
        <w:t xml:space="preserve">) times as large for a c-unit increase in x. </w:t>
      </w:r>
    </w:p>
    <w:p w14:paraId="6EEA9941" w14:textId="77777777" w:rsidR="00781F8D" w:rsidRDefault="00781F8D" w:rsidP="00EB4E92">
      <w:pPr>
        <w:ind w:left="720"/>
      </w:pPr>
    </w:p>
    <w:p w14:paraId="390651FE" w14:textId="77777777" w:rsidR="00781F8D" w:rsidRDefault="00781F8D" w:rsidP="00EB4E92">
      <w:pPr>
        <w:ind w:left="720"/>
      </w:pPr>
      <w:r>
        <w:t xml:space="preserve">or </w:t>
      </w:r>
    </w:p>
    <w:p w14:paraId="42844F05" w14:textId="77777777" w:rsidR="00781F8D" w:rsidRDefault="00781F8D" w:rsidP="00EB4E92">
      <w:pPr>
        <w:ind w:left="720"/>
      </w:pPr>
    </w:p>
    <w:p w14:paraId="68D8532C" w14:textId="77777777" w:rsidR="00781F8D" w:rsidRDefault="00781F8D" w:rsidP="00781F8D">
      <w:pPr>
        <w:ind w:left="1440"/>
      </w:pPr>
      <w:r>
        <w:t>The odds of Y being below a particular level change by exp(</w:t>
      </w:r>
      <w:r w:rsidR="000D7B09">
        <w:t>c</w:t>
      </w:r>
      <w:r>
        <w:sym w:font="Symbol" w:char="F062"/>
      </w:r>
      <w:r>
        <w:rPr>
          <w:vertAlign w:val="subscript"/>
        </w:rPr>
        <w:t>1</w:t>
      </w:r>
      <w:r>
        <w:t xml:space="preserve">) times for every c-unit increase in x. </w:t>
      </w:r>
    </w:p>
    <w:p w14:paraId="4DFBAF74" w14:textId="77777777" w:rsidR="00EB4E92" w:rsidRDefault="00EB4E92" w:rsidP="00EB4E92">
      <w:pPr>
        <w:ind w:left="720"/>
      </w:pPr>
    </w:p>
    <w:p w14:paraId="4B86C144" w14:textId="77777777" w:rsidR="00EB4E92" w:rsidRDefault="00EB4E92" w:rsidP="00EB4E92">
      <w:pPr>
        <w:ind w:left="720"/>
      </w:pPr>
      <w:r w:rsidRPr="00143AC6">
        <w:rPr>
          <w:u w:val="single"/>
        </w:rPr>
        <w:t>Notes</w:t>
      </w:r>
      <w:r>
        <w:t>:</w:t>
      </w:r>
    </w:p>
    <w:p w14:paraId="0BB13C87" w14:textId="77777777" w:rsidR="00EB4E92" w:rsidRDefault="00EB4E92" w:rsidP="00EB4E92">
      <w:pPr>
        <w:pStyle w:val="ListParagraph"/>
        <w:numPr>
          <w:ilvl w:val="0"/>
          <w:numId w:val="20"/>
        </w:numPr>
      </w:pPr>
      <w:r>
        <w:t xml:space="preserve">When there is more than one explanatory variable, we will need to include a statement like “holding the other variables in the model constant”.  </w:t>
      </w:r>
    </w:p>
    <w:p w14:paraId="296BACF5" w14:textId="77777777" w:rsidR="00781F8D" w:rsidRDefault="00781F8D" w:rsidP="00781F8D">
      <w:pPr>
        <w:pStyle w:val="ListParagraph"/>
        <w:numPr>
          <w:ilvl w:val="0"/>
          <w:numId w:val="20"/>
        </w:numPr>
      </w:pPr>
      <w:r>
        <w:t xml:space="preserve">Similar to what we saw in Chapter 2, adjustments need to be made for an odds ratio calculation and interpretation when interactions or transformations are present in the model. </w:t>
      </w:r>
    </w:p>
    <w:p w14:paraId="22D70966" w14:textId="77777777" w:rsidR="00EB4E92" w:rsidRDefault="00781F8D" w:rsidP="00EB4E92">
      <w:pPr>
        <w:pStyle w:val="ListParagraph"/>
        <w:numPr>
          <w:ilvl w:val="0"/>
          <w:numId w:val="20"/>
        </w:numPr>
      </w:pPr>
      <w:r>
        <w:t>Inference</w:t>
      </w:r>
      <w:r w:rsidR="00EB4E92" w:rsidRPr="00974422">
        <w:t xml:space="preserve"> methods for odds ratios are performed in the same ways as for likelihood procedures discussed in earlier chapters.</w:t>
      </w:r>
      <w:r w:rsidR="00EB4E92">
        <w:t xml:space="preserve"> </w:t>
      </w:r>
    </w:p>
    <w:p w14:paraId="2E905217" w14:textId="77777777" w:rsidR="0025551F" w:rsidRDefault="0025551F" w:rsidP="0025551F">
      <w:pPr>
        <w:pStyle w:val="BodyTextIndent"/>
        <w:rPr>
          <w:u w:val="single"/>
        </w:rPr>
      </w:pPr>
    </w:p>
    <w:p w14:paraId="71AA137F" w14:textId="77777777" w:rsidR="0025551F" w:rsidRDefault="0025551F" w:rsidP="0025551F">
      <w:pPr>
        <w:pStyle w:val="BodyTextIndent"/>
        <w:rPr>
          <w:u w:val="single"/>
        </w:rPr>
      </w:pPr>
    </w:p>
    <w:p w14:paraId="24BAD27E" w14:textId="77777777" w:rsidR="005122A4" w:rsidRDefault="005122A4">
      <w:pPr>
        <w:spacing w:after="200" w:line="276" w:lineRule="auto"/>
        <w:jc w:val="left"/>
        <w:rPr>
          <w:rFonts w:cs="Arial"/>
          <w:szCs w:val="40"/>
          <w:u w:val="single"/>
        </w:rPr>
      </w:pPr>
      <w:r>
        <w:rPr>
          <w:u w:val="single"/>
        </w:rPr>
        <w:br w:type="page"/>
      </w:r>
    </w:p>
    <w:p w14:paraId="2E2A0038" w14:textId="77777777" w:rsidR="0025551F" w:rsidRDefault="0025551F" w:rsidP="0025551F">
      <w:pPr>
        <w:pStyle w:val="BodyTextIndent"/>
        <w:ind w:left="0"/>
      </w:pPr>
      <w:r>
        <w:rPr>
          <w:u w:val="single"/>
        </w:rPr>
        <w:lastRenderedPageBreak/>
        <w:t>Example</w:t>
      </w:r>
      <w:r w:rsidR="00F23322">
        <w:t>: Wheat kernels (</w:t>
      </w:r>
      <w:proofErr w:type="spellStart"/>
      <w:r w:rsidR="00F23322">
        <w:t>Wheat.R</w:t>
      </w:r>
      <w:proofErr w:type="spellEnd"/>
      <w:r w:rsidR="00F23322">
        <w:t>, Wheat.csv</w:t>
      </w:r>
      <w:r>
        <w:t>)</w:t>
      </w:r>
    </w:p>
    <w:p w14:paraId="1C573305" w14:textId="77777777" w:rsidR="0025551F" w:rsidRDefault="0025551F" w:rsidP="0025551F">
      <w:pPr>
        <w:pStyle w:val="BodyTextIndent"/>
        <w:ind w:left="0"/>
      </w:pPr>
    </w:p>
    <w:p w14:paraId="584D1604" w14:textId="77777777" w:rsidR="00781F8D" w:rsidRDefault="00C00D55" w:rsidP="00C00D55">
      <w:pPr>
        <w:ind w:left="720"/>
      </w:pPr>
      <w:r w:rsidRPr="00C00D55">
        <w:t xml:space="preserve">The estimated odds ratios for each explanatory variable are calculated as </w:t>
      </w:r>
      <w:r w:rsidRPr="00C00D55">
        <w:rPr>
          <w:position w:val="-14"/>
        </w:rPr>
        <w:object w:dxaOrig="1500" w:dyaOrig="580" w14:anchorId="7EEF301B">
          <v:shape id="_x0000_i1028" type="#_x0000_t75" style="width:74.25pt;height:28.5pt" o:ole="">
            <v:imagedata r:id="rId14" o:title=""/>
          </v:shape>
          <o:OLEObject Type="Embed" ProgID="Equation.DSMT4" ShapeID="_x0000_i1028" DrawAspect="Content" ObjectID="_1735299658" r:id="rId15"/>
        </w:object>
      </w:r>
      <w:r>
        <w:t xml:space="preserve"> </w:t>
      </w:r>
      <w:r w:rsidRPr="00C00D55">
        <w:t>for r</w:t>
      </w:r>
      <w:r>
        <w:t xml:space="preserve"> </w:t>
      </w:r>
      <w:r w:rsidRPr="00C00D55">
        <w:t>=</w:t>
      </w:r>
      <w:r>
        <w:t xml:space="preserve"> </w:t>
      </w:r>
      <w:r w:rsidRPr="00C00D55">
        <w:t>1,</w:t>
      </w:r>
      <w:r>
        <w:t xml:space="preserve"> …, 6</w:t>
      </w:r>
      <w:r w:rsidRPr="00C00D55">
        <w:t xml:space="preserve">. </w:t>
      </w:r>
      <w:r w:rsidR="005122A4">
        <w:t>As done for the multinomial regression model</w:t>
      </w:r>
      <w:r w:rsidRPr="00C00D55">
        <w:t xml:space="preserve">, c </w:t>
      </w:r>
      <w:r>
        <w:t xml:space="preserve">is set </w:t>
      </w:r>
      <w:r w:rsidRPr="00C00D55">
        <w:t>equal to one standard deviation for each explanatory variable</w:t>
      </w:r>
      <w:r w:rsidR="009F06B9">
        <w:t>,</w:t>
      </w:r>
      <w:r w:rsidRPr="00C00D55">
        <w:t xml:space="preserve"> </w:t>
      </w:r>
      <w:r w:rsidR="005122A4">
        <w:t xml:space="preserve">except for </w:t>
      </w:r>
      <w:r w:rsidR="005122A4" w:rsidRPr="005122A4">
        <w:rPr>
          <w:rFonts w:ascii="Courier New" w:hAnsi="Courier New" w:cs="Courier New"/>
        </w:rPr>
        <w:t>class</w:t>
      </w:r>
      <w:r w:rsidR="005122A4">
        <w:t xml:space="preserve"> which uses </w:t>
      </w:r>
      <w:r w:rsidRPr="00C00D55">
        <w:t>c</w:t>
      </w:r>
      <w:r>
        <w:t xml:space="preserve"> </w:t>
      </w:r>
      <w:r w:rsidRPr="00C00D55">
        <w:t>=</w:t>
      </w:r>
      <w:r>
        <w:t xml:space="preserve"> </w:t>
      </w:r>
      <w:r w:rsidRPr="00C00D55">
        <w:t>1</w:t>
      </w:r>
      <w:r w:rsidR="005122A4">
        <w:t>.</w:t>
      </w:r>
      <w:r w:rsidR="00501473">
        <w:t xml:space="preserve"> Below are the calculations (remember that </w:t>
      </w:r>
      <w:r w:rsidR="00501473" w:rsidRPr="00501473">
        <w:rPr>
          <w:position w:val="-14"/>
        </w:rPr>
        <w:object w:dxaOrig="600" w:dyaOrig="499" w14:anchorId="39156828">
          <v:shape id="_x0000_i1029" type="#_x0000_t75" style="width:29.25pt;height:24pt" o:ole="">
            <v:imagedata r:id="rId16" o:title=""/>
          </v:shape>
          <o:OLEObject Type="Embed" ProgID="Equation.DSMT4" ShapeID="_x0000_i1029" DrawAspect="Content" ObjectID="_1735299659" r:id="rId17"/>
        </w:object>
      </w:r>
      <w:r w:rsidR="00501473">
        <w:t xml:space="preserve"> is </w:t>
      </w:r>
      <w:r w:rsidR="00501473" w:rsidRPr="00501473">
        <w:rPr>
          <w:position w:val="-14"/>
        </w:rPr>
        <w:object w:dxaOrig="340" w:dyaOrig="580" w14:anchorId="05499330">
          <v:shape id="_x0000_i1030" type="#_x0000_t75" style="width:17.25pt;height:28.5pt" o:ole="">
            <v:imagedata r:id="rId18" o:title=""/>
          </v:shape>
          <o:OLEObject Type="Embed" ProgID="Equation.DSMT4" ShapeID="_x0000_i1030" DrawAspect="Content" ObjectID="_1735299660" r:id="rId19"/>
        </w:object>
      </w:r>
      <w:r w:rsidR="00501473">
        <w:t>):</w:t>
      </w:r>
    </w:p>
    <w:p w14:paraId="20527112" w14:textId="77777777" w:rsidR="00C00D55" w:rsidRDefault="00781F8D" w:rsidP="00C00D55">
      <w:pPr>
        <w:ind w:left="720"/>
      </w:pPr>
      <w:r>
        <w:t xml:space="preserve"> </w:t>
      </w:r>
    </w:p>
    <w:p w14:paraId="6986B505" w14:textId="3851D68A" w:rsidR="00B27D0C" w:rsidRDefault="00B27D0C" w:rsidP="00B27D0C">
      <w:pPr>
        <w:pStyle w:val="R-14"/>
      </w:pPr>
      <w:r>
        <w:t xml:space="preserve">&gt; </w:t>
      </w:r>
      <w:proofErr w:type="spellStart"/>
      <w:r>
        <w:t>sd.wheat</w:t>
      </w:r>
      <w:proofErr w:type="spellEnd"/>
      <w:r>
        <w:t xml:space="preserve"> &lt;- apply(X = wheat[,-c(1,7,8)], MARGIN = 2, FUN = </w:t>
      </w:r>
      <w:proofErr w:type="spellStart"/>
      <w:r>
        <w:t>sd</w:t>
      </w:r>
      <w:proofErr w:type="spellEnd"/>
      <w:r>
        <w:t>)</w:t>
      </w:r>
    </w:p>
    <w:p w14:paraId="1366C504" w14:textId="5F1DF00B" w:rsidR="00B27D0C" w:rsidRDefault="00B27D0C" w:rsidP="00B27D0C">
      <w:pPr>
        <w:pStyle w:val="R-14"/>
      </w:pPr>
      <w:r>
        <w:t xml:space="preserve">&gt; </w:t>
      </w:r>
      <w:proofErr w:type="spellStart"/>
      <w:r>
        <w:t>c.value</w:t>
      </w:r>
      <w:proofErr w:type="spellEnd"/>
      <w:r>
        <w:t xml:space="preserve"> &lt;-c(1, </w:t>
      </w:r>
      <w:proofErr w:type="spellStart"/>
      <w:r>
        <w:t>sd.wheat</w:t>
      </w:r>
      <w:proofErr w:type="spellEnd"/>
      <w:r>
        <w:t>)</w:t>
      </w:r>
    </w:p>
    <w:p w14:paraId="00E448D1" w14:textId="1AC00786" w:rsidR="00B27D0C" w:rsidRDefault="00B27D0C" w:rsidP="00B27D0C">
      <w:pPr>
        <w:pStyle w:val="R-14"/>
      </w:pPr>
      <w:r>
        <w:t>&gt; round(</w:t>
      </w:r>
      <w:proofErr w:type="spellStart"/>
      <w:r>
        <w:t>c.value</w:t>
      </w:r>
      <w:proofErr w:type="spellEnd"/>
      <w:r>
        <w:t>, 2)  # class = 1 is first value</w:t>
      </w:r>
    </w:p>
    <w:p w14:paraId="50CA18CC" w14:textId="77777777" w:rsidR="00B27D0C" w:rsidRDefault="00B27D0C" w:rsidP="00B27D0C">
      <w:pPr>
        <w:pStyle w:val="R-14"/>
      </w:pPr>
      <w:r>
        <w:t xml:space="preserve">          density hardness     size   weight moisture </w:t>
      </w:r>
    </w:p>
    <w:p w14:paraId="74261DA7" w14:textId="77777777" w:rsidR="00B27D0C" w:rsidRDefault="00B27D0C" w:rsidP="00B27D0C">
      <w:pPr>
        <w:pStyle w:val="R-14"/>
      </w:pPr>
      <w:r>
        <w:t xml:space="preserve">    1.00     0.13    27.36     0.49     7.92     2.03 </w:t>
      </w:r>
    </w:p>
    <w:p w14:paraId="07A922B9" w14:textId="77777777" w:rsidR="00C00D55" w:rsidRDefault="00C00D55" w:rsidP="001168AA">
      <w:pPr>
        <w:pStyle w:val="R-14"/>
      </w:pPr>
    </w:p>
    <w:p w14:paraId="7EA5C82E" w14:textId="77777777" w:rsidR="00C00D55" w:rsidRDefault="00C00D55" w:rsidP="001168AA">
      <w:pPr>
        <w:pStyle w:val="R-14"/>
      </w:pPr>
      <w:r>
        <w:t>&gt; round(exp(</w:t>
      </w:r>
      <w:proofErr w:type="spellStart"/>
      <w:r>
        <w:t>c.value</w:t>
      </w:r>
      <w:proofErr w:type="spellEnd"/>
      <w:r>
        <w:t xml:space="preserve"> * (-</w:t>
      </w:r>
      <w:proofErr w:type="spellStart"/>
      <w:r>
        <w:t>mod.fit.ord$coefficients</w:t>
      </w:r>
      <w:proofErr w:type="spellEnd"/>
      <w:r>
        <w:t>)), 2)</w:t>
      </w:r>
    </w:p>
    <w:p w14:paraId="38FD76A9" w14:textId="77777777" w:rsidR="00C00D55" w:rsidRDefault="00C00D55" w:rsidP="001168AA">
      <w:pPr>
        <w:pStyle w:val="R-14"/>
      </w:pPr>
      <w:r>
        <w:t xml:space="preserve">      density hardness     size   weight moisture</w:t>
      </w:r>
    </w:p>
    <w:p w14:paraId="6EBE053D" w14:textId="77777777" w:rsidR="00C00D55" w:rsidRDefault="00C00D55" w:rsidP="001168AA">
      <w:pPr>
        <w:pStyle w:val="R-14"/>
      </w:pPr>
      <w:r>
        <w:t>0.84     0.17     0.75     1.15     0.37     1.08</w:t>
      </w:r>
    </w:p>
    <w:p w14:paraId="0ADBD8D2" w14:textId="77777777" w:rsidR="00C00D55" w:rsidRDefault="00C00D55" w:rsidP="001168AA">
      <w:pPr>
        <w:pStyle w:val="R-14"/>
      </w:pPr>
      <w:r>
        <w:t>&gt; round(1/exp(</w:t>
      </w:r>
      <w:proofErr w:type="spellStart"/>
      <w:r>
        <w:t>c.value</w:t>
      </w:r>
      <w:proofErr w:type="spellEnd"/>
      <w:r>
        <w:t xml:space="preserve"> * (-</w:t>
      </w:r>
      <w:proofErr w:type="spellStart"/>
      <w:r>
        <w:t>mod.fit.ord$coefficients</w:t>
      </w:r>
      <w:proofErr w:type="spellEnd"/>
      <w:r>
        <w:t>)), 2)</w:t>
      </w:r>
    </w:p>
    <w:p w14:paraId="2F1993E2" w14:textId="77777777" w:rsidR="00C00D55" w:rsidRDefault="00C00D55" w:rsidP="001168AA">
      <w:pPr>
        <w:pStyle w:val="R-14"/>
      </w:pPr>
      <w:r>
        <w:t xml:space="preserve">      density hardness     size   weight moisture</w:t>
      </w:r>
    </w:p>
    <w:p w14:paraId="034B034C" w14:textId="77777777" w:rsidR="00C00D55" w:rsidRDefault="00C00D55" w:rsidP="001168AA">
      <w:pPr>
        <w:pStyle w:val="R-14"/>
      </w:pPr>
      <w:r>
        <w:t>1.19     5.89     1.33     0.87     2.74     0.92</w:t>
      </w:r>
    </w:p>
    <w:p w14:paraId="6FCA24F1" w14:textId="77777777" w:rsidR="00C00D55" w:rsidRDefault="00C00D55" w:rsidP="00C00D55">
      <w:pPr>
        <w:ind w:left="720"/>
      </w:pPr>
    </w:p>
    <w:p w14:paraId="38F82372" w14:textId="77777777" w:rsidR="00501473" w:rsidRDefault="00501473" w:rsidP="00501473">
      <w:pPr>
        <w:pStyle w:val="ListParagraph"/>
      </w:pPr>
      <w:r>
        <w:t>Example interpretations include:</w:t>
      </w:r>
    </w:p>
    <w:p w14:paraId="22749A91" w14:textId="77777777" w:rsidR="00501473" w:rsidRDefault="00501473" w:rsidP="00501473">
      <w:pPr>
        <w:pStyle w:val="ListParagraph"/>
        <w:numPr>
          <w:ilvl w:val="0"/>
          <w:numId w:val="24"/>
        </w:numPr>
      </w:pPr>
      <w:r w:rsidRPr="00501473">
        <w:t>The estimated odds of a scab (Y</w:t>
      </w:r>
      <w:r>
        <w:t xml:space="preserve"> </w:t>
      </w:r>
      <w:r>
        <w:sym w:font="Symbol" w:char="F0A3"/>
      </w:r>
      <w:r>
        <w:t xml:space="preserve"> 1</w:t>
      </w:r>
      <w:r w:rsidRPr="00501473">
        <w:t>) vs. sprout or healthy (Y</w:t>
      </w:r>
      <w:r>
        <w:t xml:space="preserve"> </w:t>
      </w:r>
      <w:r w:rsidRPr="00501473">
        <w:t>&gt;</w:t>
      </w:r>
      <w:r>
        <w:t xml:space="preserve"> 1</w:t>
      </w:r>
      <w:r w:rsidRPr="00501473">
        <w:t xml:space="preserve">) response are 0.84 times as large for soft rather than </w:t>
      </w:r>
      <w:r w:rsidR="009F06B9">
        <w:t xml:space="preserve">for </w:t>
      </w:r>
      <w:r w:rsidRPr="00501473">
        <w:t>hard red winter wheat</w:t>
      </w:r>
      <w:r w:rsidR="009F06B9">
        <w:t>, holding the other variables constant</w:t>
      </w:r>
      <w:r w:rsidRPr="00501473">
        <w:t>. Note that the corresponding 95% confidence interval fo</w:t>
      </w:r>
      <w:r>
        <w:t xml:space="preserve">r the </w:t>
      </w:r>
      <w:r w:rsidRPr="005350BC">
        <w:rPr>
          <w:rFonts w:ascii="Courier New" w:hAnsi="Courier New" w:cs="Courier New"/>
        </w:rPr>
        <w:t>class</w:t>
      </w:r>
      <w:r>
        <w:t xml:space="preserve"> contains 1 as we will see shortly. </w:t>
      </w:r>
    </w:p>
    <w:p w14:paraId="6E5A7175" w14:textId="77777777" w:rsidR="0017240D" w:rsidRDefault="00501473" w:rsidP="0017240D">
      <w:pPr>
        <w:pStyle w:val="ListParagraph"/>
        <w:numPr>
          <w:ilvl w:val="0"/>
          <w:numId w:val="24"/>
        </w:numPr>
      </w:pPr>
      <w:r w:rsidRPr="00501473">
        <w:lastRenderedPageBreak/>
        <w:t xml:space="preserve">The estimated odds of a scab vs. sprout or healthy response </w:t>
      </w:r>
      <w:r w:rsidR="009F06B9">
        <w:t>are</w:t>
      </w:r>
      <w:r w:rsidRPr="00501473">
        <w:t xml:space="preserve"> 5.89 times </w:t>
      </w:r>
      <w:r w:rsidR="009F06B9">
        <w:t xml:space="preserve">as large </w:t>
      </w:r>
      <w:r w:rsidRPr="00501473">
        <w:t>for a 0.13 decrease in the density</w:t>
      </w:r>
      <w:r w:rsidR="009F06B9">
        <w:t>,</w:t>
      </w:r>
      <w:r w:rsidRPr="00501473">
        <w:t xml:space="preserve"> holding the other variables constant.</w:t>
      </w:r>
    </w:p>
    <w:p w14:paraId="1EBF8BF8" w14:textId="77777777" w:rsidR="0025551F" w:rsidRPr="0017240D" w:rsidRDefault="00501473" w:rsidP="0017240D">
      <w:pPr>
        <w:pStyle w:val="ListParagraph"/>
        <w:numPr>
          <w:ilvl w:val="0"/>
          <w:numId w:val="24"/>
        </w:numPr>
      </w:pPr>
      <w:r w:rsidRPr="00501473">
        <w:t xml:space="preserve">The estimated odds of a scab vs. sprout or healthy response </w:t>
      </w:r>
      <w:r w:rsidR="009F06B9">
        <w:t>are</w:t>
      </w:r>
      <w:r w:rsidRPr="00501473">
        <w:t xml:space="preserve"> 2.74 times </w:t>
      </w:r>
      <w:r w:rsidR="009F06B9">
        <w:t xml:space="preserve">as large </w:t>
      </w:r>
      <w:r w:rsidRPr="00501473">
        <w:t>for a 7.92 decrease in the weight</w:t>
      </w:r>
      <w:r w:rsidR="009F06B9">
        <w:t>,</w:t>
      </w:r>
      <w:r w:rsidRPr="00501473">
        <w:t xml:space="preserve"> holding the other variables constant. </w:t>
      </w:r>
    </w:p>
    <w:p w14:paraId="35696350" w14:textId="77777777" w:rsidR="0017240D" w:rsidRDefault="0017240D" w:rsidP="0017240D">
      <w:pPr>
        <w:ind w:left="720"/>
      </w:pPr>
    </w:p>
    <w:p w14:paraId="2713D313" w14:textId="77777777" w:rsidR="0017240D" w:rsidRDefault="0017240D" w:rsidP="0017240D">
      <w:pPr>
        <w:ind w:left="720"/>
      </w:pPr>
      <w:r w:rsidRPr="0017240D">
        <w:t>Because of the proportional odds, each of the previous interpretations can start with “The estimated odds of a scab or sprout vs. healthy response are ... ,” and the same estimated odds ratios would</w:t>
      </w:r>
      <w:r w:rsidR="006704DA">
        <w:t xml:space="preserve"> be used in the interpretation. Also, one could put the interpretation in the following form:</w:t>
      </w:r>
    </w:p>
    <w:p w14:paraId="3E953FAB" w14:textId="77777777" w:rsidR="006704DA" w:rsidRDefault="006704DA" w:rsidP="0017240D">
      <w:pPr>
        <w:ind w:left="720"/>
      </w:pPr>
    </w:p>
    <w:p w14:paraId="7EB84CB2" w14:textId="77777777" w:rsidR="006704DA" w:rsidRDefault="006704DA" w:rsidP="006704DA">
      <w:pPr>
        <w:ind w:left="1440"/>
      </w:pPr>
      <w:r w:rsidRPr="006704DA">
        <w:t xml:space="preserve">The estimated odds of kernel quality being below a particular level </w:t>
      </w:r>
      <w:r w:rsidR="009F06B9">
        <w:t>are</w:t>
      </w:r>
      <w:r w:rsidRPr="006704DA">
        <w:t xml:space="preserve"> </w:t>
      </w:r>
      <w:r>
        <w:t>___</w:t>
      </w:r>
      <w:r w:rsidRPr="006704DA">
        <w:t xml:space="preserve"> times </w:t>
      </w:r>
      <w:r w:rsidR="009F06B9">
        <w:t xml:space="preserve">as large </w:t>
      </w:r>
      <w:r w:rsidRPr="006704DA">
        <w:t xml:space="preserve">for </w:t>
      </w:r>
      <w:proofErr w:type="spellStart"/>
      <w:r w:rsidRPr="006704DA">
        <w:t>a</w:t>
      </w:r>
      <w:proofErr w:type="spellEnd"/>
      <w:r w:rsidRPr="006704DA">
        <w:t xml:space="preserve"> </w:t>
      </w:r>
      <w:r>
        <w:t>___ in</w:t>
      </w:r>
      <w:r w:rsidRPr="006704DA">
        <w:t xml:space="preserve">crease in </w:t>
      </w:r>
      <w:r>
        <w:t>___</w:t>
      </w:r>
      <w:r w:rsidRPr="006704DA">
        <w:t>, holding the other variables constant.</w:t>
      </w:r>
    </w:p>
    <w:p w14:paraId="7F635719" w14:textId="77777777" w:rsidR="0017240D" w:rsidRDefault="0017240D" w:rsidP="0017240D">
      <w:pPr>
        <w:ind w:left="720"/>
      </w:pPr>
    </w:p>
    <w:p w14:paraId="211165D3" w14:textId="77777777" w:rsidR="006704DA" w:rsidRDefault="006704DA" w:rsidP="0017240D">
      <w:pPr>
        <w:ind w:left="720"/>
      </w:pPr>
      <w:r>
        <w:t xml:space="preserve">due to the </w:t>
      </w:r>
      <w:r w:rsidRPr="0017240D">
        <w:t>proportional odds</w:t>
      </w:r>
      <w:r>
        <w:t xml:space="preserve">. </w:t>
      </w:r>
    </w:p>
    <w:p w14:paraId="337C205A" w14:textId="77777777" w:rsidR="009F06B9" w:rsidRDefault="009F06B9" w:rsidP="0017240D">
      <w:pPr>
        <w:ind w:left="720"/>
      </w:pPr>
    </w:p>
    <w:p w14:paraId="3BF1E839" w14:textId="65FD1DE1" w:rsidR="00501473" w:rsidRDefault="0017240D" w:rsidP="0017240D">
      <w:pPr>
        <w:ind w:left="720"/>
      </w:pPr>
      <w:r w:rsidRPr="0017240D">
        <w:t xml:space="preserve">Overall, we see that the larger the density and weight, the more likely a kernel is </w:t>
      </w:r>
      <w:r w:rsidR="00F17C46">
        <w:t>higher quality</w:t>
      </w:r>
      <w:r w:rsidRPr="0017240D">
        <w:t xml:space="preserve">. We can again relate these results back to </w:t>
      </w:r>
      <w:r>
        <w:t xml:space="preserve">parallel coordinates plot to see why </w:t>
      </w:r>
      <w:r w:rsidR="00BA099D">
        <w:t>these interpretations</w:t>
      </w:r>
      <w:r>
        <w:t xml:space="preserve"> make sense. </w:t>
      </w:r>
    </w:p>
    <w:p w14:paraId="4A66B024" w14:textId="77777777" w:rsidR="0017240D" w:rsidRDefault="0017240D" w:rsidP="0017240D">
      <w:pPr>
        <w:ind w:left="720"/>
      </w:pPr>
    </w:p>
    <w:p w14:paraId="60804252" w14:textId="77777777" w:rsidR="0017240D" w:rsidRDefault="0017240D" w:rsidP="0017240D">
      <w:pPr>
        <w:pStyle w:val="ListParagraph"/>
      </w:pPr>
      <w:r>
        <w:t xml:space="preserve">Below are the calculations for the </w:t>
      </w:r>
      <w:r w:rsidR="00D843F7">
        <w:t xml:space="preserve">profile likelihood ratio </w:t>
      </w:r>
      <w:r>
        <w:t>confidence intervals:</w:t>
      </w:r>
    </w:p>
    <w:p w14:paraId="337D3D8C" w14:textId="77777777" w:rsidR="0017240D" w:rsidRDefault="0017240D" w:rsidP="0017240D">
      <w:pPr>
        <w:ind w:left="720"/>
      </w:pPr>
    </w:p>
    <w:p w14:paraId="66AF0411" w14:textId="77777777" w:rsidR="0017240D" w:rsidRDefault="0017240D" w:rsidP="001168AA">
      <w:pPr>
        <w:pStyle w:val="R-14"/>
      </w:pPr>
      <w:r>
        <w:t xml:space="preserve">&gt; </w:t>
      </w:r>
      <w:proofErr w:type="spellStart"/>
      <w:r>
        <w:t>conf.beta</w:t>
      </w:r>
      <w:proofErr w:type="spellEnd"/>
      <w:r w:rsidR="00906C8C">
        <w:t xml:space="preserve"> </w:t>
      </w:r>
      <w:r>
        <w:t>&lt;-</w:t>
      </w:r>
      <w:r w:rsidR="00906C8C">
        <w:t xml:space="preserve"> </w:t>
      </w:r>
      <w:proofErr w:type="spellStart"/>
      <w:r>
        <w:t>confint</w:t>
      </w:r>
      <w:proofErr w:type="spellEnd"/>
      <w:r>
        <w:t xml:space="preserve">(object = </w:t>
      </w:r>
      <w:proofErr w:type="spellStart"/>
      <w:r>
        <w:t>mod.fit.ord</w:t>
      </w:r>
      <w:proofErr w:type="spellEnd"/>
      <w:r>
        <w:t xml:space="preserve">, level = 0.95) </w:t>
      </w:r>
    </w:p>
    <w:p w14:paraId="633BE2B4" w14:textId="77777777" w:rsidR="0017240D" w:rsidRDefault="0017240D" w:rsidP="001168AA">
      <w:pPr>
        <w:pStyle w:val="R-14"/>
      </w:pPr>
      <w:r>
        <w:t>Waiting for profiling to be done...</w:t>
      </w:r>
    </w:p>
    <w:p w14:paraId="0B750E20" w14:textId="77777777" w:rsidR="0017240D" w:rsidRDefault="0017240D" w:rsidP="001168AA">
      <w:pPr>
        <w:pStyle w:val="R-14"/>
      </w:pPr>
    </w:p>
    <w:p w14:paraId="24ABA955" w14:textId="77777777" w:rsidR="0017240D" w:rsidRDefault="0017240D" w:rsidP="001168AA">
      <w:pPr>
        <w:pStyle w:val="R-14"/>
      </w:pPr>
      <w:r>
        <w:lastRenderedPageBreak/>
        <w:t>Re-fitting to get Hessian</w:t>
      </w:r>
    </w:p>
    <w:p w14:paraId="688BF532" w14:textId="77777777" w:rsidR="0017240D" w:rsidRDefault="0017240D" w:rsidP="001168AA">
      <w:pPr>
        <w:pStyle w:val="R-14"/>
      </w:pPr>
    </w:p>
    <w:p w14:paraId="5C4A7EC4" w14:textId="77777777" w:rsidR="0017240D" w:rsidRDefault="0017240D" w:rsidP="001168AA">
      <w:pPr>
        <w:pStyle w:val="R-14"/>
      </w:pPr>
      <w:r>
        <w:t>&gt; ci</w:t>
      </w:r>
      <w:r w:rsidR="00906C8C">
        <w:t xml:space="preserve"> </w:t>
      </w:r>
      <w:r>
        <w:t>&lt;-</w:t>
      </w:r>
      <w:r w:rsidR="00906C8C">
        <w:t xml:space="preserve"> </w:t>
      </w:r>
      <w:r>
        <w:t>exp(</w:t>
      </w:r>
      <w:proofErr w:type="spellStart"/>
      <w:r>
        <w:t>c.value</w:t>
      </w:r>
      <w:proofErr w:type="spellEnd"/>
      <w:r>
        <w:t>*(-</w:t>
      </w:r>
      <w:proofErr w:type="spellStart"/>
      <w:r>
        <w:t>conf.beta</w:t>
      </w:r>
      <w:proofErr w:type="spellEnd"/>
      <w:r>
        <w:t xml:space="preserve">)) </w:t>
      </w:r>
    </w:p>
    <w:p w14:paraId="30EE0BDB" w14:textId="77777777" w:rsidR="0017240D" w:rsidRDefault="0017240D" w:rsidP="001168AA">
      <w:pPr>
        <w:pStyle w:val="R-14"/>
      </w:pPr>
      <w:r>
        <w:t>&gt; round(</w:t>
      </w:r>
      <w:proofErr w:type="spellStart"/>
      <w:r>
        <w:t>data.frame</w:t>
      </w:r>
      <w:proofErr w:type="spellEnd"/>
      <w:r>
        <w:t>(low = ci[,2], up = ci[,1]), 2)</w:t>
      </w:r>
    </w:p>
    <w:p w14:paraId="3749A48E" w14:textId="77777777" w:rsidR="0017240D" w:rsidRDefault="0017240D" w:rsidP="001168AA">
      <w:pPr>
        <w:pStyle w:val="R-14"/>
      </w:pPr>
      <w:r>
        <w:t xml:space="preserve">          low   up </w:t>
      </w:r>
    </w:p>
    <w:p w14:paraId="1F3AA6D1" w14:textId="77777777" w:rsidR="0017240D" w:rsidRDefault="0017240D" w:rsidP="001168AA">
      <w:pPr>
        <w:pStyle w:val="R-14"/>
      </w:pPr>
      <w:proofErr w:type="spellStart"/>
      <w:r>
        <w:t>classsrw</w:t>
      </w:r>
      <w:proofErr w:type="spellEnd"/>
      <w:r>
        <w:t xml:space="preserve"> 0.39 1.81 </w:t>
      </w:r>
    </w:p>
    <w:p w14:paraId="281E617D" w14:textId="77777777" w:rsidR="0017240D" w:rsidRDefault="0017240D" w:rsidP="001168AA">
      <w:pPr>
        <w:pStyle w:val="R-14"/>
      </w:pPr>
      <w:r>
        <w:t xml:space="preserve">density  0.11 0.26 </w:t>
      </w:r>
    </w:p>
    <w:p w14:paraId="308ECFC7" w14:textId="77777777" w:rsidR="0017240D" w:rsidRDefault="0017240D" w:rsidP="001168AA">
      <w:pPr>
        <w:pStyle w:val="R-14"/>
      </w:pPr>
      <w:r>
        <w:t xml:space="preserve">hardness 0.55 1.03 </w:t>
      </w:r>
    </w:p>
    <w:p w14:paraId="71C5D730" w14:textId="77777777" w:rsidR="0017240D" w:rsidRDefault="0017240D" w:rsidP="001168AA">
      <w:pPr>
        <w:pStyle w:val="R-14"/>
      </w:pPr>
      <w:r>
        <w:t xml:space="preserve">size     0.77 1.72 </w:t>
      </w:r>
    </w:p>
    <w:p w14:paraId="4DDD3ABB" w14:textId="77777777" w:rsidR="0017240D" w:rsidRDefault="0017240D" w:rsidP="001168AA">
      <w:pPr>
        <w:pStyle w:val="R-14"/>
      </w:pPr>
      <w:r>
        <w:t xml:space="preserve">weight   0.23 0.58 </w:t>
      </w:r>
    </w:p>
    <w:p w14:paraId="3B230029" w14:textId="77777777" w:rsidR="0017240D" w:rsidRDefault="0017240D" w:rsidP="001168AA">
      <w:pPr>
        <w:pStyle w:val="R-14"/>
      </w:pPr>
      <w:r>
        <w:t xml:space="preserve">moisture 0.76 1.54 </w:t>
      </w:r>
    </w:p>
    <w:p w14:paraId="48C9F1C5" w14:textId="77777777" w:rsidR="0017240D" w:rsidRDefault="0017240D" w:rsidP="001168AA">
      <w:pPr>
        <w:pStyle w:val="R-14"/>
      </w:pPr>
    </w:p>
    <w:p w14:paraId="064CFA59" w14:textId="77777777" w:rsidR="0017240D" w:rsidRDefault="0017240D" w:rsidP="001168AA">
      <w:pPr>
        <w:pStyle w:val="R-14"/>
      </w:pPr>
      <w:r>
        <w:t>&gt; round(</w:t>
      </w:r>
      <w:proofErr w:type="spellStart"/>
      <w:r>
        <w:t>data.frame</w:t>
      </w:r>
      <w:proofErr w:type="spellEnd"/>
      <w:r>
        <w:t>(low = 1/ci[,1], up = 1/ci[,2]), 2)</w:t>
      </w:r>
    </w:p>
    <w:p w14:paraId="522CCB66" w14:textId="77777777" w:rsidR="0017240D" w:rsidRDefault="0017240D" w:rsidP="001168AA">
      <w:pPr>
        <w:pStyle w:val="R-14"/>
      </w:pPr>
      <w:r>
        <w:t xml:space="preserve">          low   up </w:t>
      </w:r>
    </w:p>
    <w:p w14:paraId="1B83E232" w14:textId="77777777" w:rsidR="0017240D" w:rsidRDefault="0017240D" w:rsidP="001168AA">
      <w:pPr>
        <w:pStyle w:val="R-14"/>
      </w:pPr>
      <w:proofErr w:type="spellStart"/>
      <w:r>
        <w:t>classsrw</w:t>
      </w:r>
      <w:proofErr w:type="spellEnd"/>
      <w:r>
        <w:t xml:space="preserve"> 0.55 2.57 </w:t>
      </w:r>
    </w:p>
    <w:p w14:paraId="2D895F59" w14:textId="77777777" w:rsidR="0017240D" w:rsidRDefault="0017240D" w:rsidP="001168AA">
      <w:pPr>
        <w:pStyle w:val="R-14"/>
      </w:pPr>
      <w:r>
        <w:t xml:space="preserve">density  3.87 9.36 </w:t>
      </w:r>
    </w:p>
    <w:p w14:paraId="0A1BA23E" w14:textId="77777777" w:rsidR="0017240D" w:rsidRDefault="0017240D" w:rsidP="001168AA">
      <w:pPr>
        <w:pStyle w:val="R-14"/>
      </w:pPr>
      <w:r>
        <w:t xml:space="preserve">hardness 0.97 1.83 </w:t>
      </w:r>
    </w:p>
    <w:p w14:paraId="612BCDE2" w14:textId="77777777" w:rsidR="0017240D" w:rsidRDefault="0017240D" w:rsidP="001168AA">
      <w:pPr>
        <w:pStyle w:val="R-14"/>
      </w:pPr>
      <w:r>
        <w:t xml:space="preserve">size     0.58 1.29 </w:t>
      </w:r>
    </w:p>
    <w:p w14:paraId="68863B21" w14:textId="77777777" w:rsidR="0017240D" w:rsidRDefault="0017240D" w:rsidP="001168AA">
      <w:pPr>
        <w:pStyle w:val="R-14"/>
      </w:pPr>
      <w:r>
        <w:t xml:space="preserve">weight   1.73 4.40 </w:t>
      </w:r>
    </w:p>
    <w:p w14:paraId="00974DA3" w14:textId="77777777" w:rsidR="0017240D" w:rsidRDefault="0017240D" w:rsidP="001168AA">
      <w:pPr>
        <w:pStyle w:val="R-14"/>
      </w:pPr>
      <w:r>
        <w:t>moisture 0.65 1.31</w:t>
      </w:r>
    </w:p>
    <w:p w14:paraId="478A283A" w14:textId="77777777" w:rsidR="0048276B" w:rsidRDefault="0048276B" w:rsidP="0048276B"/>
    <w:p w14:paraId="1A3613E3" w14:textId="77777777" w:rsidR="005B1CB0" w:rsidRDefault="0048276B" w:rsidP="005B1CB0">
      <w:pPr>
        <w:ind w:left="720"/>
      </w:pPr>
      <w:r w:rsidRPr="0048276B">
        <w:t xml:space="preserve">Note that the </w:t>
      </w:r>
      <w:proofErr w:type="spellStart"/>
      <w:r w:rsidRPr="0048276B">
        <w:rPr>
          <w:rFonts w:ascii="Courier New" w:hAnsi="Courier New" w:cs="Courier New"/>
        </w:rPr>
        <w:t>c.value</w:t>
      </w:r>
      <w:proofErr w:type="spellEnd"/>
      <w:r w:rsidRPr="0048276B">
        <w:rPr>
          <w:rFonts w:ascii="Courier New" w:hAnsi="Courier New" w:cs="Courier New"/>
        </w:rPr>
        <w:t>*(-</w:t>
      </w:r>
      <w:proofErr w:type="spellStart"/>
      <w:r w:rsidRPr="0048276B">
        <w:rPr>
          <w:rFonts w:ascii="Courier New" w:hAnsi="Courier New" w:cs="Courier New"/>
        </w:rPr>
        <w:t>conf.beta</w:t>
      </w:r>
      <w:proofErr w:type="spellEnd"/>
      <w:r w:rsidRPr="0048276B">
        <w:rPr>
          <w:rFonts w:ascii="Courier New" w:hAnsi="Courier New" w:cs="Courier New"/>
        </w:rPr>
        <w:t>)</w:t>
      </w:r>
      <w:r w:rsidRPr="0048276B">
        <w:t xml:space="preserve"> segment of code multiplies each row of </w:t>
      </w:r>
      <w:proofErr w:type="spellStart"/>
      <w:r w:rsidRPr="0048276B">
        <w:rPr>
          <w:rFonts w:ascii="Courier New" w:hAnsi="Courier New" w:cs="Courier New"/>
        </w:rPr>
        <w:t>conf.beta</w:t>
      </w:r>
      <w:proofErr w:type="spellEnd"/>
      <w:r w:rsidRPr="0048276B">
        <w:t xml:space="preserve"> by its corresponding element in </w:t>
      </w:r>
      <w:proofErr w:type="spellStart"/>
      <w:r w:rsidRPr="0048276B">
        <w:rPr>
          <w:rFonts w:ascii="Courier New" w:hAnsi="Courier New" w:cs="Courier New"/>
        </w:rPr>
        <w:t>c.value</w:t>
      </w:r>
      <w:proofErr w:type="spellEnd"/>
      <w:r w:rsidRPr="0048276B">
        <w:t>.</w:t>
      </w:r>
    </w:p>
    <w:p w14:paraId="27A5B01A" w14:textId="77777777" w:rsidR="005B1CB0" w:rsidRDefault="005B1CB0" w:rsidP="005B1CB0">
      <w:pPr>
        <w:ind w:left="720"/>
      </w:pPr>
    </w:p>
    <w:p w14:paraId="1A61979C" w14:textId="77777777" w:rsidR="005B1CB0" w:rsidRDefault="005B1CB0" w:rsidP="005B1CB0">
      <w:pPr>
        <w:ind w:left="720"/>
      </w:pPr>
      <w:r>
        <w:t xml:space="preserve">The </w:t>
      </w:r>
      <w:r w:rsidRPr="005350BC">
        <w:rPr>
          <w:rFonts w:ascii="Courier New" w:hAnsi="Courier New" w:cs="Courier New"/>
        </w:rPr>
        <w:t>density</w:t>
      </w:r>
      <w:r>
        <w:t xml:space="preserve"> odds ratio can be interpreted as: </w:t>
      </w:r>
    </w:p>
    <w:p w14:paraId="2D01FE0F" w14:textId="77777777" w:rsidR="005B1CB0" w:rsidRDefault="005B1CB0" w:rsidP="005B1CB0">
      <w:pPr>
        <w:ind w:left="720"/>
      </w:pPr>
    </w:p>
    <w:p w14:paraId="407C5CBE" w14:textId="77777777" w:rsidR="005B1CB0" w:rsidRDefault="005B1CB0" w:rsidP="005B1CB0">
      <w:pPr>
        <w:ind w:left="1440"/>
      </w:pPr>
      <w:r>
        <w:t xml:space="preserve">With 95% confidence, the odds of a scab instead of a sprout or healthy response </w:t>
      </w:r>
      <w:r w:rsidR="009F06B9">
        <w:t>are between</w:t>
      </w:r>
      <w:r>
        <w:t xml:space="preserve"> 3.87 to 9.36 times </w:t>
      </w:r>
      <w:r w:rsidR="009F06B9">
        <w:t xml:space="preserve">as large </w:t>
      </w:r>
      <w:r>
        <w:t xml:space="preserve">when </w:t>
      </w:r>
      <w:r w:rsidR="005350BC">
        <w:t xml:space="preserve">the </w:t>
      </w:r>
      <w:r>
        <w:t>density is decreased by 0.13</w:t>
      </w:r>
      <w:r w:rsidR="009F06B9">
        <w:t>,</w:t>
      </w:r>
      <w:r>
        <w:t xml:space="preserve"> holding the other variables constant. </w:t>
      </w:r>
    </w:p>
    <w:p w14:paraId="7DFEAFF3" w14:textId="77777777" w:rsidR="005B1CB0" w:rsidRDefault="005B1CB0" w:rsidP="005B1CB0">
      <w:pPr>
        <w:ind w:left="720"/>
      </w:pPr>
    </w:p>
    <w:p w14:paraId="4F91804D" w14:textId="77777777" w:rsidR="00810AEE" w:rsidRDefault="006704DA" w:rsidP="005B1CB0">
      <w:pPr>
        <w:ind w:left="720"/>
      </w:pPr>
      <w:r>
        <w:t>Similar modifications to the above interpretation can be made as before due to the proportional odds assumption.</w:t>
      </w:r>
      <w:r w:rsidR="00810AEE">
        <w:t xml:space="preserve"> For example,</w:t>
      </w:r>
    </w:p>
    <w:p w14:paraId="7A150A97" w14:textId="77777777" w:rsidR="00810AEE" w:rsidRDefault="00810AEE" w:rsidP="005B1CB0">
      <w:pPr>
        <w:ind w:left="720"/>
      </w:pPr>
    </w:p>
    <w:p w14:paraId="14442BFC" w14:textId="0BEAD988" w:rsidR="00810AEE" w:rsidRDefault="00810AEE" w:rsidP="00810AEE">
      <w:pPr>
        <w:ind w:left="1440"/>
      </w:pPr>
      <w:r>
        <w:t xml:space="preserve">With 95% confidence, </w:t>
      </w:r>
      <w:r>
        <w:t>t</w:t>
      </w:r>
      <w:r w:rsidRPr="006704DA">
        <w:t xml:space="preserve">he estimated odds of kernel quality being below a particular level </w:t>
      </w:r>
      <w:r>
        <w:t>are</w:t>
      </w:r>
      <w:r w:rsidRPr="006704DA">
        <w:t xml:space="preserve"> </w:t>
      </w:r>
      <w:r>
        <w:t xml:space="preserve">between 3.87 and 9.36 </w:t>
      </w:r>
      <w:r w:rsidRPr="006704DA">
        <w:t xml:space="preserve">times </w:t>
      </w:r>
      <w:r>
        <w:t>as large when the density is decreased by 0.13, holding the other variables constant.</w:t>
      </w:r>
    </w:p>
    <w:p w14:paraId="54E8413A" w14:textId="77777777" w:rsidR="006704DA" w:rsidRDefault="006704DA" w:rsidP="005B1CB0">
      <w:pPr>
        <w:ind w:left="720"/>
      </w:pPr>
    </w:p>
    <w:p w14:paraId="6D1B256F" w14:textId="77777777" w:rsidR="002641FE" w:rsidRDefault="005B1CB0" w:rsidP="005B1CB0">
      <w:pPr>
        <w:ind w:left="720"/>
      </w:pPr>
      <w:r>
        <w:t xml:space="preserve">Wald intervals </w:t>
      </w:r>
      <w:r w:rsidR="002641FE">
        <w:t>cannot be calculated using</w:t>
      </w:r>
      <w:r>
        <w:t xml:space="preserve"> </w:t>
      </w:r>
      <w:proofErr w:type="spellStart"/>
      <w:r w:rsidRPr="005B1CB0">
        <w:rPr>
          <w:rFonts w:ascii="Courier New" w:hAnsi="Courier New" w:cs="Courier New"/>
        </w:rPr>
        <w:t>confint.default</w:t>
      </w:r>
      <w:proofErr w:type="spellEnd"/>
      <w:r w:rsidRPr="005B1CB0">
        <w:rPr>
          <w:rFonts w:ascii="Courier New" w:hAnsi="Courier New" w:cs="Courier New"/>
        </w:rPr>
        <w:t>()</w:t>
      </w:r>
      <w:r>
        <w:t>.</w:t>
      </w:r>
      <w:r w:rsidR="002641FE">
        <w:t xml:space="preserve"> Instead, here are the calculations for </w:t>
      </w:r>
      <w:r w:rsidR="002641FE" w:rsidRPr="002641FE">
        <w:rPr>
          <w:rFonts w:ascii="Courier New" w:hAnsi="Courier New" w:cs="Courier New"/>
        </w:rPr>
        <w:t>density</w:t>
      </w:r>
      <w:r w:rsidR="002641FE">
        <w:t xml:space="preserve"> using </w:t>
      </w:r>
      <w:proofErr w:type="spellStart"/>
      <w:r w:rsidR="002641FE" w:rsidRPr="002641FE">
        <w:rPr>
          <w:rFonts w:ascii="Courier New" w:hAnsi="Courier New" w:cs="Courier New"/>
        </w:rPr>
        <w:t>emmeans</w:t>
      </w:r>
      <w:proofErr w:type="spellEnd"/>
      <w:r w:rsidR="002641FE">
        <w:t xml:space="preserve">: </w:t>
      </w:r>
    </w:p>
    <w:p w14:paraId="45780B96" w14:textId="77777777" w:rsidR="002641FE" w:rsidRDefault="002641FE" w:rsidP="005B1CB0">
      <w:pPr>
        <w:ind w:left="720"/>
      </w:pPr>
    </w:p>
    <w:p w14:paraId="29614180" w14:textId="77777777" w:rsidR="002641FE" w:rsidRDefault="002641FE" w:rsidP="002641FE">
      <w:pPr>
        <w:pStyle w:val="R-14"/>
      </w:pPr>
      <w:r>
        <w:t xml:space="preserve">&gt; </w:t>
      </w:r>
      <w:proofErr w:type="spellStart"/>
      <w:r>
        <w:t>calc.est</w:t>
      </w:r>
      <w:proofErr w:type="spellEnd"/>
      <w:r>
        <w:t xml:space="preserve"> &lt;- </w:t>
      </w:r>
      <w:proofErr w:type="spellStart"/>
      <w:r>
        <w:t>emmeans</w:t>
      </w:r>
      <w:proofErr w:type="spellEnd"/>
      <w:r>
        <w:t xml:space="preserve">(object = </w:t>
      </w:r>
      <w:proofErr w:type="spellStart"/>
      <w:r>
        <w:t>mod.fit.ord</w:t>
      </w:r>
      <w:proofErr w:type="spellEnd"/>
      <w:r>
        <w:t>, specs = ~ density, at = list(density = c(1.25 + 0.13, 1.25)), mode = "</w:t>
      </w:r>
      <w:proofErr w:type="spellStart"/>
      <w:r>
        <w:t>linear.predictor</w:t>
      </w:r>
      <w:proofErr w:type="spellEnd"/>
      <w:r>
        <w:t>")</w:t>
      </w:r>
    </w:p>
    <w:p w14:paraId="131A9455" w14:textId="77777777" w:rsidR="002641FE" w:rsidRDefault="002641FE" w:rsidP="002641FE">
      <w:pPr>
        <w:pStyle w:val="R-14"/>
      </w:pPr>
    </w:p>
    <w:p w14:paraId="7DB949A1" w14:textId="77777777" w:rsidR="002641FE" w:rsidRDefault="002641FE" w:rsidP="002641FE">
      <w:pPr>
        <w:pStyle w:val="R-14"/>
      </w:pPr>
      <w:r>
        <w:t>Re-fitting to get Hessian</w:t>
      </w:r>
    </w:p>
    <w:p w14:paraId="484AB400" w14:textId="77777777" w:rsidR="002641FE" w:rsidRDefault="002641FE" w:rsidP="002641FE">
      <w:pPr>
        <w:pStyle w:val="R-14"/>
      </w:pPr>
    </w:p>
    <w:p w14:paraId="74E8506B" w14:textId="77777777" w:rsidR="002641FE" w:rsidRDefault="002641FE" w:rsidP="0076316A">
      <w:pPr>
        <w:pStyle w:val="R-14"/>
      </w:pPr>
      <w:r>
        <w:t xml:space="preserve">&gt; </w:t>
      </w:r>
      <w:proofErr w:type="spellStart"/>
      <w:r>
        <w:t>confint</w:t>
      </w:r>
      <w:proofErr w:type="spellEnd"/>
      <w:r>
        <w:t xml:space="preserve">(object = contrast(object = </w:t>
      </w:r>
      <w:proofErr w:type="spellStart"/>
      <w:r>
        <w:t>calc.est</w:t>
      </w:r>
      <w:proofErr w:type="spellEnd"/>
      <w:r>
        <w:t>, method = "</w:t>
      </w:r>
      <w:proofErr w:type="spellStart"/>
      <w:r>
        <w:t>revpairwise</w:t>
      </w:r>
      <w:proofErr w:type="spellEnd"/>
      <w:r>
        <w:t>", type = "response"),</w:t>
      </w:r>
      <w:r w:rsidR="0076316A">
        <w:t xml:space="preserve"> </w:t>
      </w:r>
      <w:r>
        <w:t>level = 0.95)</w:t>
      </w:r>
    </w:p>
    <w:p w14:paraId="0F6212B5" w14:textId="77777777" w:rsidR="002641FE" w:rsidRDefault="002641FE" w:rsidP="002641FE">
      <w:pPr>
        <w:pStyle w:val="R-14"/>
      </w:pPr>
      <w:r>
        <w:t xml:space="preserve"> contrast                  </w:t>
      </w:r>
      <w:proofErr w:type="spellStart"/>
      <w:r>
        <w:t>odds.ratio</w:t>
      </w:r>
      <w:proofErr w:type="spellEnd"/>
      <w:r>
        <w:t xml:space="preserve">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</w:p>
    <w:p w14:paraId="40746AB8" w14:textId="77777777" w:rsidR="002641FE" w:rsidRDefault="002641FE" w:rsidP="002641FE">
      <w:pPr>
        <w:pStyle w:val="R-14"/>
      </w:pPr>
      <w:r>
        <w:t xml:space="preserve"> density1.25 / density1.38       5.79 1.29 Inf      3.74</w:t>
      </w:r>
    </w:p>
    <w:p w14:paraId="4D2EDAD4" w14:textId="77777777" w:rsidR="002641FE" w:rsidRDefault="002641FE" w:rsidP="002641FE">
      <w:pPr>
        <w:pStyle w:val="R-14"/>
      </w:pPr>
      <w:r>
        <w:t xml:space="preserve"> </w:t>
      </w:r>
      <w:proofErr w:type="spellStart"/>
      <w:r>
        <w:t>asymp.UCL</w:t>
      </w:r>
      <w:proofErr w:type="spellEnd"/>
    </w:p>
    <w:p w14:paraId="198DC385" w14:textId="77777777" w:rsidR="002641FE" w:rsidRDefault="002641FE" w:rsidP="002641FE">
      <w:pPr>
        <w:pStyle w:val="R-14"/>
      </w:pPr>
      <w:r>
        <w:t xml:space="preserve">      8.95</w:t>
      </w:r>
    </w:p>
    <w:p w14:paraId="6E928A3F" w14:textId="77777777" w:rsidR="002641FE" w:rsidRDefault="002641FE" w:rsidP="0076316A">
      <w:pPr>
        <w:pStyle w:val="R-14"/>
      </w:pPr>
    </w:p>
    <w:p w14:paraId="06CE974A" w14:textId="77777777" w:rsidR="002641FE" w:rsidRDefault="002641FE" w:rsidP="0076316A">
      <w:pPr>
        <w:pStyle w:val="R-14"/>
      </w:pPr>
      <w:r>
        <w:t xml:space="preserve">Results are averaged over the levels of: class, cut </w:t>
      </w:r>
    </w:p>
    <w:p w14:paraId="3E8EA3DC" w14:textId="77777777" w:rsidR="002641FE" w:rsidRDefault="002641FE" w:rsidP="0076316A">
      <w:pPr>
        <w:pStyle w:val="R-14"/>
      </w:pPr>
      <w:r>
        <w:t xml:space="preserve">Confidence level used: 0.95 </w:t>
      </w:r>
    </w:p>
    <w:p w14:paraId="01310EAF" w14:textId="77777777" w:rsidR="002641FE" w:rsidRDefault="002641FE" w:rsidP="0076316A">
      <w:pPr>
        <w:pStyle w:val="R-14"/>
      </w:pPr>
      <w:r>
        <w:t>Intervals are back-transformed from the log odds ratio scale</w:t>
      </w:r>
    </w:p>
    <w:p w14:paraId="520D084B" w14:textId="77777777" w:rsidR="0076316A" w:rsidRDefault="0076316A" w:rsidP="002641FE">
      <w:pPr>
        <w:ind w:left="720"/>
      </w:pPr>
    </w:p>
    <w:p w14:paraId="59041257" w14:textId="77777777" w:rsidR="0076316A" w:rsidRDefault="0076316A" w:rsidP="0076316A">
      <w:pPr>
        <w:pStyle w:val="ListParagraph"/>
      </w:pPr>
      <w:r w:rsidRPr="001C2F50">
        <w:rPr>
          <w:u w:val="single"/>
        </w:rPr>
        <w:t>Comments</w:t>
      </w:r>
      <w:r>
        <w:t>:</w:t>
      </w:r>
    </w:p>
    <w:p w14:paraId="0C408AE5" w14:textId="77777777" w:rsidR="0076316A" w:rsidRDefault="0076316A" w:rsidP="0076316A">
      <w:pPr>
        <w:pStyle w:val="ListParagraph"/>
        <w:numPr>
          <w:ilvl w:val="0"/>
          <w:numId w:val="32"/>
        </w:numPr>
      </w:pPr>
      <w:r>
        <w:t xml:space="preserve">Odds ratios can be calculated for only one explanatory variable at a time. </w:t>
      </w:r>
    </w:p>
    <w:p w14:paraId="231D2D43" w14:textId="77777777" w:rsidR="0076316A" w:rsidRDefault="0076316A" w:rsidP="0076316A">
      <w:pPr>
        <w:pStyle w:val="ListParagraph"/>
        <w:numPr>
          <w:ilvl w:val="0"/>
          <w:numId w:val="32"/>
        </w:numPr>
      </w:pPr>
      <w:r>
        <w:t xml:space="preserve">Differences from using </w:t>
      </w:r>
      <w:proofErr w:type="spellStart"/>
      <w:r w:rsidRPr="0076316A">
        <w:rPr>
          <w:rFonts w:ascii="Courier New" w:hAnsi="Courier New" w:cs="Courier New"/>
        </w:rPr>
        <w:t>emmeans</w:t>
      </w:r>
      <w:proofErr w:type="spellEnd"/>
      <w:r>
        <w:t xml:space="preserve"> with multinomial regression: </w:t>
      </w:r>
    </w:p>
    <w:p w14:paraId="315E346A" w14:textId="77777777" w:rsidR="0076316A" w:rsidRDefault="0076316A" w:rsidP="0076316A">
      <w:pPr>
        <w:pStyle w:val="ListParagraph"/>
        <w:numPr>
          <w:ilvl w:val="1"/>
          <w:numId w:val="32"/>
        </w:numPr>
      </w:pPr>
      <w:r>
        <w:lastRenderedPageBreak/>
        <w:t xml:space="preserve">The </w:t>
      </w:r>
      <w:r w:rsidRPr="001C2F50">
        <w:rPr>
          <w:rFonts w:ascii="Courier New" w:hAnsi="Courier New" w:cs="Courier New"/>
        </w:rPr>
        <w:t>specs</w:t>
      </w:r>
      <w:r>
        <w:t xml:space="preserve"> argument contains ONLY the explanatory variable of interest.  </w:t>
      </w:r>
    </w:p>
    <w:p w14:paraId="060D8E85" w14:textId="77777777" w:rsidR="0076316A" w:rsidRDefault="0076316A" w:rsidP="0076316A">
      <w:pPr>
        <w:pStyle w:val="ListParagraph"/>
        <w:numPr>
          <w:ilvl w:val="1"/>
          <w:numId w:val="32"/>
        </w:numPr>
      </w:pPr>
      <w:r>
        <w:t xml:space="preserve">The </w:t>
      </w:r>
      <w:r w:rsidRPr="0076316A">
        <w:rPr>
          <w:rFonts w:ascii="Courier New" w:hAnsi="Courier New" w:cs="Courier New"/>
        </w:rPr>
        <w:t>mode</w:t>
      </w:r>
      <w:r>
        <w:t xml:space="preserve"> value is </w:t>
      </w:r>
      <w:proofErr w:type="spellStart"/>
      <w:r w:rsidRPr="0076316A">
        <w:rPr>
          <w:rFonts w:ascii="Courier New" w:hAnsi="Courier New" w:cs="Courier New"/>
        </w:rPr>
        <w:t>linear.predictor</w:t>
      </w:r>
      <w:proofErr w:type="spellEnd"/>
      <w:r>
        <w:t xml:space="preserve">. </w:t>
      </w:r>
    </w:p>
    <w:p w14:paraId="512126C8" w14:textId="77777777" w:rsidR="0076316A" w:rsidRDefault="0076316A" w:rsidP="0076316A">
      <w:pPr>
        <w:pStyle w:val="ListParagraph"/>
        <w:numPr>
          <w:ilvl w:val="1"/>
          <w:numId w:val="32"/>
        </w:numPr>
      </w:pPr>
      <w:r>
        <w:t xml:space="preserve">The </w:t>
      </w:r>
      <w:r w:rsidRPr="0076316A">
        <w:rPr>
          <w:rFonts w:ascii="Courier New" w:hAnsi="Courier New" w:cs="Courier New"/>
        </w:rPr>
        <w:t>method</w:t>
      </w:r>
      <w:r>
        <w:t xml:space="preserve"> argument replaces the </w:t>
      </w:r>
      <w:r w:rsidRPr="00D45825">
        <w:rPr>
          <w:rFonts w:ascii="Courier New" w:hAnsi="Courier New" w:cs="Courier New"/>
        </w:rPr>
        <w:t>interaction</w:t>
      </w:r>
      <w:r>
        <w:t xml:space="preserve"> argument of </w:t>
      </w:r>
      <w:r w:rsidRPr="001C2F50">
        <w:rPr>
          <w:rFonts w:ascii="Courier New" w:hAnsi="Courier New" w:cs="Courier New"/>
        </w:rPr>
        <w:t>contrast()</w:t>
      </w:r>
      <w:r>
        <w:t xml:space="preserve">. </w:t>
      </w:r>
    </w:p>
    <w:p w14:paraId="7FD9B5C5" w14:textId="77777777" w:rsidR="0048276B" w:rsidRDefault="0048276B" w:rsidP="0048276B"/>
    <w:sectPr w:rsidR="0048276B" w:rsidSect="002B6218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303" w14:textId="77777777" w:rsidR="0067421D" w:rsidRDefault="0067421D" w:rsidP="006F27B5">
      <w:r>
        <w:separator/>
      </w:r>
    </w:p>
  </w:endnote>
  <w:endnote w:type="continuationSeparator" w:id="0">
    <w:p w14:paraId="2F379A19" w14:textId="77777777" w:rsidR="0067421D" w:rsidRDefault="0067421D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9542" w14:textId="77777777" w:rsidR="0067421D" w:rsidRDefault="0067421D" w:rsidP="006F27B5">
      <w:r>
        <w:separator/>
      </w:r>
    </w:p>
  </w:footnote>
  <w:footnote w:type="continuationSeparator" w:id="0">
    <w:p w14:paraId="658FB7D6" w14:textId="77777777" w:rsidR="0067421D" w:rsidRDefault="0067421D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9A176B" w14:textId="77777777" w:rsidR="008E3C5F" w:rsidRPr="006F27B5" w:rsidRDefault="008E3C5F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5350BC">
          <w:rPr>
            <w:noProof/>
            <w:sz w:val="32"/>
            <w:szCs w:val="32"/>
          </w:rPr>
          <w:t>6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52812489" w14:textId="77777777" w:rsidR="008E3C5F" w:rsidRDefault="008E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0B"/>
    <w:multiLevelType w:val="hybridMultilevel"/>
    <w:tmpl w:val="26C6F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7CAF"/>
    <w:multiLevelType w:val="hybridMultilevel"/>
    <w:tmpl w:val="4C9A2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33BA6"/>
    <w:multiLevelType w:val="hybridMultilevel"/>
    <w:tmpl w:val="244E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0B248A"/>
    <w:multiLevelType w:val="hybridMultilevel"/>
    <w:tmpl w:val="018A4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09301">
    <w:abstractNumId w:val="32"/>
  </w:num>
  <w:num w:numId="2" w16cid:durableId="2115516486">
    <w:abstractNumId w:val="14"/>
  </w:num>
  <w:num w:numId="3" w16cid:durableId="1670327325">
    <w:abstractNumId w:val="21"/>
  </w:num>
  <w:num w:numId="4" w16cid:durableId="1845969708">
    <w:abstractNumId w:val="31"/>
  </w:num>
  <w:num w:numId="5" w16cid:durableId="1262034725">
    <w:abstractNumId w:val="22"/>
  </w:num>
  <w:num w:numId="6" w16cid:durableId="1884902846">
    <w:abstractNumId w:val="18"/>
  </w:num>
  <w:num w:numId="7" w16cid:durableId="1162429547">
    <w:abstractNumId w:val="6"/>
  </w:num>
  <w:num w:numId="8" w16cid:durableId="448547557">
    <w:abstractNumId w:val="17"/>
  </w:num>
  <w:num w:numId="9" w16cid:durableId="123281662">
    <w:abstractNumId w:val="29"/>
  </w:num>
  <w:num w:numId="10" w16cid:durableId="959150003">
    <w:abstractNumId w:val="4"/>
  </w:num>
  <w:num w:numId="11" w16cid:durableId="13385940">
    <w:abstractNumId w:val="5"/>
  </w:num>
  <w:num w:numId="12" w16cid:durableId="314719644">
    <w:abstractNumId w:val="7"/>
  </w:num>
  <w:num w:numId="13" w16cid:durableId="1066144890">
    <w:abstractNumId w:val="24"/>
  </w:num>
  <w:num w:numId="14" w16cid:durableId="617759504">
    <w:abstractNumId w:val="9"/>
  </w:num>
  <w:num w:numId="15" w16cid:durableId="1222862630">
    <w:abstractNumId w:val="3"/>
  </w:num>
  <w:num w:numId="16" w16cid:durableId="576283412">
    <w:abstractNumId w:val="8"/>
  </w:num>
  <w:num w:numId="17" w16cid:durableId="2012874528">
    <w:abstractNumId w:val="15"/>
  </w:num>
  <w:num w:numId="18" w16cid:durableId="134107312">
    <w:abstractNumId w:val="20"/>
  </w:num>
  <w:num w:numId="19" w16cid:durableId="45841244">
    <w:abstractNumId w:val="10"/>
  </w:num>
  <w:num w:numId="20" w16cid:durableId="692540137">
    <w:abstractNumId w:val="16"/>
  </w:num>
  <w:num w:numId="21" w16cid:durableId="1107432876">
    <w:abstractNumId w:val="26"/>
  </w:num>
  <w:num w:numId="22" w16cid:durableId="606960663">
    <w:abstractNumId w:val="28"/>
  </w:num>
  <w:num w:numId="23" w16cid:durableId="459688777">
    <w:abstractNumId w:val="2"/>
  </w:num>
  <w:num w:numId="24" w16cid:durableId="525101576">
    <w:abstractNumId w:val="30"/>
  </w:num>
  <w:num w:numId="25" w16cid:durableId="1129401041">
    <w:abstractNumId w:val="19"/>
  </w:num>
  <w:num w:numId="26" w16cid:durableId="1375617130">
    <w:abstractNumId w:val="12"/>
  </w:num>
  <w:num w:numId="27" w16cid:durableId="1188256540">
    <w:abstractNumId w:val="23"/>
  </w:num>
  <w:num w:numId="28" w16cid:durableId="1090662291">
    <w:abstractNumId w:val="25"/>
  </w:num>
  <w:num w:numId="29" w16cid:durableId="474294103">
    <w:abstractNumId w:val="13"/>
  </w:num>
  <w:num w:numId="30" w16cid:durableId="446392491">
    <w:abstractNumId w:val="0"/>
  </w:num>
  <w:num w:numId="31" w16cid:durableId="921329538">
    <w:abstractNumId w:val="1"/>
  </w:num>
  <w:num w:numId="32" w16cid:durableId="736585044">
    <w:abstractNumId w:val="11"/>
  </w:num>
  <w:num w:numId="33" w16cid:durableId="7274151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5"/>
    <w:rsid w:val="00006150"/>
    <w:rsid w:val="00007491"/>
    <w:rsid w:val="000120C2"/>
    <w:rsid w:val="00015CA1"/>
    <w:rsid w:val="0002343B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600DC"/>
    <w:rsid w:val="000602D6"/>
    <w:rsid w:val="000705EE"/>
    <w:rsid w:val="000822E7"/>
    <w:rsid w:val="00087D49"/>
    <w:rsid w:val="00091018"/>
    <w:rsid w:val="00092756"/>
    <w:rsid w:val="000958BF"/>
    <w:rsid w:val="000A2A66"/>
    <w:rsid w:val="000B050B"/>
    <w:rsid w:val="000B2693"/>
    <w:rsid w:val="000D0380"/>
    <w:rsid w:val="000D7794"/>
    <w:rsid w:val="000D7B09"/>
    <w:rsid w:val="000F3200"/>
    <w:rsid w:val="001016B2"/>
    <w:rsid w:val="00101E32"/>
    <w:rsid w:val="00104060"/>
    <w:rsid w:val="00110635"/>
    <w:rsid w:val="001168AA"/>
    <w:rsid w:val="00116EFA"/>
    <w:rsid w:val="0012194D"/>
    <w:rsid w:val="001270F3"/>
    <w:rsid w:val="001326E5"/>
    <w:rsid w:val="00132840"/>
    <w:rsid w:val="00143AC6"/>
    <w:rsid w:val="0015291B"/>
    <w:rsid w:val="001557B3"/>
    <w:rsid w:val="00155ACC"/>
    <w:rsid w:val="00166FAE"/>
    <w:rsid w:val="0017240D"/>
    <w:rsid w:val="0017340E"/>
    <w:rsid w:val="0018491E"/>
    <w:rsid w:val="001919EF"/>
    <w:rsid w:val="001A5DD9"/>
    <w:rsid w:val="001C2F50"/>
    <w:rsid w:val="001C7FC5"/>
    <w:rsid w:val="001D3282"/>
    <w:rsid w:val="001E5CA8"/>
    <w:rsid w:val="001F71F3"/>
    <w:rsid w:val="002000F1"/>
    <w:rsid w:val="0020149E"/>
    <w:rsid w:val="00214CA8"/>
    <w:rsid w:val="00223F9A"/>
    <w:rsid w:val="00224290"/>
    <w:rsid w:val="0022549E"/>
    <w:rsid w:val="00231101"/>
    <w:rsid w:val="00235A6F"/>
    <w:rsid w:val="00245E41"/>
    <w:rsid w:val="00247009"/>
    <w:rsid w:val="0025551F"/>
    <w:rsid w:val="0026249D"/>
    <w:rsid w:val="002641FE"/>
    <w:rsid w:val="00267B9F"/>
    <w:rsid w:val="0028503C"/>
    <w:rsid w:val="00285EA5"/>
    <w:rsid w:val="00291F9D"/>
    <w:rsid w:val="002B5122"/>
    <w:rsid w:val="002B6218"/>
    <w:rsid w:val="002B6E88"/>
    <w:rsid w:val="002C6A24"/>
    <w:rsid w:val="002D0E59"/>
    <w:rsid w:val="002D16EA"/>
    <w:rsid w:val="002D4F62"/>
    <w:rsid w:val="002D5905"/>
    <w:rsid w:val="002D59B5"/>
    <w:rsid w:val="002E61DF"/>
    <w:rsid w:val="00325458"/>
    <w:rsid w:val="00334D26"/>
    <w:rsid w:val="00335ACC"/>
    <w:rsid w:val="00344DE2"/>
    <w:rsid w:val="00376765"/>
    <w:rsid w:val="003876B0"/>
    <w:rsid w:val="003907FC"/>
    <w:rsid w:val="003A1E44"/>
    <w:rsid w:val="003A21AF"/>
    <w:rsid w:val="003B504D"/>
    <w:rsid w:val="003B5267"/>
    <w:rsid w:val="003E24C2"/>
    <w:rsid w:val="00414A36"/>
    <w:rsid w:val="00420E37"/>
    <w:rsid w:val="0042543F"/>
    <w:rsid w:val="00443E2B"/>
    <w:rsid w:val="0044669E"/>
    <w:rsid w:val="0045509E"/>
    <w:rsid w:val="0048276B"/>
    <w:rsid w:val="0048435D"/>
    <w:rsid w:val="004A1D01"/>
    <w:rsid w:val="004B3D1E"/>
    <w:rsid w:val="004C50B7"/>
    <w:rsid w:val="004D1649"/>
    <w:rsid w:val="004D6E4B"/>
    <w:rsid w:val="004E7F24"/>
    <w:rsid w:val="004F2D21"/>
    <w:rsid w:val="004F644B"/>
    <w:rsid w:val="004F797D"/>
    <w:rsid w:val="004F7F8D"/>
    <w:rsid w:val="00500D08"/>
    <w:rsid w:val="00501473"/>
    <w:rsid w:val="0050200C"/>
    <w:rsid w:val="0050342A"/>
    <w:rsid w:val="005122A4"/>
    <w:rsid w:val="0051296C"/>
    <w:rsid w:val="00513A4A"/>
    <w:rsid w:val="00514703"/>
    <w:rsid w:val="005162B1"/>
    <w:rsid w:val="00520481"/>
    <w:rsid w:val="005242BE"/>
    <w:rsid w:val="0053312A"/>
    <w:rsid w:val="005350BC"/>
    <w:rsid w:val="00535929"/>
    <w:rsid w:val="00536F46"/>
    <w:rsid w:val="00546EC5"/>
    <w:rsid w:val="00555775"/>
    <w:rsid w:val="00561481"/>
    <w:rsid w:val="00573A20"/>
    <w:rsid w:val="00575664"/>
    <w:rsid w:val="005857A0"/>
    <w:rsid w:val="00587890"/>
    <w:rsid w:val="00595747"/>
    <w:rsid w:val="005A2163"/>
    <w:rsid w:val="005A2D16"/>
    <w:rsid w:val="005A3009"/>
    <w:rsid w:val="005A4284"/>
    <w:rsid w:val="005B1CB0"/>
    <w:rsid w:val="005B57C4"/>
    <w:rsid w:val="005B5BBF"/>
    <w:rsid w:val="005B68C4"/>
    <w:rsid w:val="005C189A"/>
    <w:rsid w:val="005D46B8"/>
    <w:rsid w:val="005E3B40"/>
    <w:rsid w:val="005E49F7"/>
    <w:rsid w:val="005E735F"/>
    <w:rsid w:val="00602D18"/>
    <w:rsid w:val="00620572"/>
    <w:rsid w:val="0062153D"/>
    <w:rsid w:val="006412AB"/>
    <w:rsid w:val="006425C6"/>
    <w:rsid w:val="006704DA"/>
    <w:rsid w:val="00672728"/>
    <w:rsid w:val="0067421D"/>
    <w:rsid w:val="0068222F"/>
    <w:rsid w:val="00682A5C"/>
    <w:rsid w:val="00687901"/>
    <w:rsid w:val="00691B36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103B0"/>
    <w:rsid w:val="007129B0"/>
    <w:rsid w:val="00712A69"/>
    <w:rsid w:val="00726407"/>
    <w:rsid w:val="00732CE1"/>
    <w:rsid w:val="00737F4E"/>
    <w:rsid w:val="0074407A"/>
    <w:rsid w:val="00744ECF"/>
    <w:rsid w:val="007451F3"/>
    <w:rsid w:val="0075020E"/>
    <w:rsid w:val="00757D7A"/>
    <w:rsid w:val="0076221B"/>
    <w:rsid w:val="00762AF0"/>
    <w:rsid w:val="0076316A"/>
    <w:rsid w:val="0076652B"/>
    <w:rsid w:val="007725C3"/>
    <w:rsid w:val="00774095"/>
    <w:rsid w:val="00781F8D"/>
    <w:rsid w:val="00783AEA"/>
    <w:rsid w:val="00783ED9"/>
    <w:rsid w:val="007A1A13"/>
    <w:rsid w:val="007B62C1"/>
    <w:rsid w:val="007C72F2"/>
    <w:rsid w:val="007D4914"/>
    <w:rsid w:val="007D6303"/>
    <w:rsid w:val="007E2689"/>
    <w:rsid w:val="007F2AA0"/>
    <w:rsid w:val="008016BC"/>
    <w:rsid w:val="00803F8F"/>
    <w:rsid w:val="00810AEE"/>
    <w:rsid w:val="00811EF4"/>
    <w:rsid w:val="00817921"/>
    <w:rsid w:val="00824300"/>
    <w:rsid w:val="00826C9A"/>
    <w:rsid w:val="008449B8"/>
    <w:rsid w:val="008528D0"/>
    <w:rsid w:val="008662C7"/>
    <w:rsid w:val="00866967"/>
    <w:rsid w:val="00874A73"/>
    <w:rsid w:val="008824E7"/>
    <w:rsid w:val="00890D7E"/>
    <w:rsid w:val="008A0AB9"/>
    <w:rsid w:val="008A0B2B"/>
    <w:rsid w:val="008B52DA"/>
    <w:rsid w:val="008C2AFC"/>
    <w:rsid w:val="008D3EA3"/>
    <w:rsid w:val="008D7F1F"/>
    <w:rsid w:val="008E0789"/>
    <w:rsid w:val="008E27E7"/>
    <w:rsid w:val="008E3C5F"/>
    <w:rsid w:val="008E3F64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86F28"/>
    <w:rsid w:val="00991937"/>
    <w:rsid w:val="009A5C06"/>
    <w:rsid w:val="009B4D36"/>
    <w:rsid w:val="009C2AC7"/>
    <w:rsid w:val="009C4335"/>
    <w:rsid w:val="009D661A"/>
    <w:rsid w:val="009E66CC"/>
    <w:rsid w:val="009F06B9"/>
    <w:rsid w:val="00A04E3B"/>
    <w:rsid w:val="00A067D5"/>
    <w:rsid w:val="00A07E45"/>
    <w:rsid w:val="00A205C4"/>
    <w:rsid w:val="00A22986"/>
    <w:rsid w:val="00A33E3B"/>
    <w:rsid w:val="00A42A21"/>
    <w:rsid w:val="00A451F9"/>
    <w:rsid w:val="00A67E36"/>
    <w:rsid w:val="00A70F12"/>
    <w:rsid w:val="00A73D84"/>
    <w:rsid w:val="00A77924"/>
    <w:rsid w:val="00A827AD"/>
    <w:rsid w:val="00A87D23"/>
    <w:rsid w:val="00A903F8"/>
    <w:rsid w:val="00A9164E"/>
    <w:rsid w:val="00A916B5"/>
    <w:rsid w:val="00AA31A3"/>
    <w:rsid w:val="00AC24A1"/>
    <w:rsid w:val="00AD3007"/>
    <w:rsid w:val="00AE61B2"/>
    <w:rsid w:val="00AE6787"/>
    <w:rsid w:val="00AF09D1"/>
    <w:rsid w:val="00AF4574"/>
    <w:rsid w:val="00AF7204"/>
    <w:rsid w:val="00B031E9"/>
    <w:rsid w:val="00B03E73"/>
    <w:rsid w:val="00B04FDE"/>
    <w:rsid w:val="00B0732E"/>
    <w:rsid w:val="00B2212B"/>
    <w:rsid w:val="00B238F3"/>
    <w:rsid w:val="00B27D0C"/>
    <w:rsid w:val="00B30783"/>
    <w:rsid w:val="00B33D79"/>
    <w:rsid w:val="00B3677A"/>
    <w:rsid w:val="00B414B0"/>
    <w:rsid w:val="00B46493"/>
    <w:rsid w:val="00B5057B"/>
    <w:rsid w:val="00B72B9F"/>
    <w:rsid w:val="00B75E4B"/>
    <w:rsid w:val="00B771D9"/>
    <w:rsid w:val="00B94C2D"/>
    <w:rsid w:val="00B96E8F"/>
    <w:rsid w:val="00BA099D"/>
    <w:rsid w:val="00BA5B22"/>
    <w:rsid w:val="00BA63FA"/>
    <w:rsid w:val="00BB13FB"/>
    <w:rsid w:val="00BB3A7B"/>
    <w:rsid w:val="00BC0839"/>
    <w:rsid w:val="00BF11E5"/>
    <w:rsid w:val="00BF256F"/>
    <w:rsid w:val="00BF3D2B"/>
    <w:rsid w:val="00C00D55"/>
    <w:rsid w:val="00C04F70"/>
    <w:rsid w:val="00C105AE"/>
    <w:rsid w:val="00C171A0"/>
    <w:rsid w:val="00C22658"/>
    <w:rsid w:val="00C30379"/>
    <w:rsid w:val="00C3116B"/>
    <w:rsid w:val="00C31B97"/>
    <w:rsid w:val="00C31D7D"/>
    <w:rsid w:val="00C32D54"/>
    <w:rsid w:val="00C43757"/>
    <w:rsid w:val="00C51908"/>
    <w:rsid w:val="00C51EC4"/>
    <w:rsid w:val="00C53A00"/>
    <w:rsid w:val="00C53B77"/>
    <w:rsid w:val="00C55C12"/>
    <w:rsid w:val="00C6404A"/>
    <w:rsid w:val="00C64773"/>
    <w:rsid w:val="00C676A0"/>
    <w:rsid w:val="00C75EAF"/>
    <w:rsid w:val="00C76272"/>
    <w:rsid w:val="00C81A44"/>
    <w:rsid w:val="00C94935"/>
    <w:rsid w:val="00CA374E"/>
    <w:rsid w:val="00CA6418"/>
    <w:rsid w:val="00CB3807"/>
    <w:rsid w:val="00CB5D06"/>
    <w:rsid w:val="00CD2502"/>
    <w:rsid w:val="00CD3438"/>
    <w:rsid w:val="00CD3E47"/>
    <w:rsid w:val="00CD6E09"/>
    <w:rsid w:val="00CF3DD3"/>
    <w:rsid w:val="00D132BA"/>
    <w:rsid w:val="00D13D2E"/>
    <w:rsid w:val="00D17E2F"/>
    <w:rsid w:val="00D409ED"/>
    <w:rsid w:val="00D6099D"/>
    <w:rsid w:val="00D6227F"/>
    <w:rsid w:val="00D6523A"/>
    <w:rsid w:val="00D80A3D"/>
    <w:rsid w:val="00D843F7"/>
    <w:rsid w:val="00D877E9"/>
    <w:rsid w:val="00D90510"/>
    <w:rsid w:val="00D9102B"/>
    <w:rsid w:val="00D95B78"/>
    <w:rsid w:val="00D96F36"/>
    <w:rsid w:val="00DA11D5"/>
    <w:rsid w:val="00DA3071"/>
    <w:rsid w:val="00DB2393"/>
    <w:rsid w:val="00DB2818"/>
    <w:rsid w:val="00DD7D45"/>
    <w:rsid w:val="00E0493A"/>
    <w:rsid w:val="00E05A85"/>
    <w:rsid w:val="00E10A45"/>
    <w:rsid w:val="00E13260"/>
    <w:rsid w:val="00E21647"/>
    <w:rsid w:val="00E21F70"/>
    <w:rsid w:val="00E23796"/>
    <w:rsid w:val="00E25F8C"/>
    <w:rsid w:val="00E273B0"/>
    <w:rsid w:val="00E30C93"/>
    <w:rsid w:val="00E37F53"/>
    <w:rsid w:val="00E5051D"/>
    <w:rsid w:val="00E55F41"/>
    <w:rsid w:val="00E56D65"/>
    <w:rsid w:val="00E81702"/>
    <w:rsid w:val="00E860D0"/>
    <w:rsid w:val="00E901F3"/>
    <w:rsid w:val="00E94600"/>
    <w:rsid w:val="00EA7098"/>
    <w:rsid w:val="00EB0E77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76E2"/>
    <w:rsid w:val="00F17C46"/>
    <w:rsid w:val="00F206FF"/>
    <w:rsid w:val="00F23322"/>
    <w:rsid w:val="00F3409E"/>
    <w:rsid w:val="00F40531"/>
    <w:rsid w:val="00F422AF"/>
    <w:rsid w:val="00F44771"/>
    <w:rsid w:val="00F45415"/>
    <w:rsid w:val="00F46682"/>
    <w:rsid w:val="00F51F3A"/>
    <w:rsid w:val="00F57013"/>
    <w:rsid w:val="00F6296B"/>
    <w:rsid w:val="00F67AEB"/>
    <w:rsid w:val="00F73CA5"/>
    <w:rsid w:val="00FB044E"/>
    <w:rsid w:val="00FB2C3F"/>
    <w:rsid w:val="00FD0CC0"/>
    <w:rsid w:val="00FD67F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3E4D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1168A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A1AE-2CB3-4A0E-A5C8-0CE63476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13</cp:revision>
  <dcterms:created xsi:type="dcterms:W3CDTF">2022-12-29T03:58:00Z</dcterms:created>
  <dcterms:modified xsi:type="dcterms:W3CDTF">2023-01-15T19:56:00Z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