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BFAB" w14:textId="436C810D" w:rsidR="00D74367" w:rsidRDefault="00BD063E" w:rsidP="00D74367">
      <w:pPr>
        <w:rPr>
          <w:b/>
        </w:rPr>
      </w:pPr>
      <w:r>
        <w:rPr>
          <w:b/>
        </w:rPr>
        <w:t>S</w:t>
      </w:r>
      <w:r w:rsidR="00D74367" w:rsidRPr="00E71958">
        <w:rPr>
          <w:b/>
        </w:rPr>
        <w:t>ection 1.</w:t>
      </w:r>
      <w:r w:rsidR="00D74367">
        <w:rPr>
          <w:b/>
        </w:rPr>
        <w:t>2</w:t>
      </w:r>
      <w:r w:rsidR="00D74367" w:rsidRPr="00E71958">
        <w:rPr>
          <w:b/>
        </w:rPr>
        <w:t>.</w:t>
      </w:r>
      <w:r w:rsidR="00D74367">
        <w:rPr>
          <w:b/>
        </w:rPr>
        <w:t>4</w:t>
      </w:r>
      <w:r w:rsidR="00D74367" w:rsidRPr="00E71958">
        <w:rPr>
          <w:b/>
        </w:rPr>
        <w:t xml:space="preserve"> –</w:t>
      </w:r>
      <w:r w:rsidR="00D74367">
        <w:rPr>
          <w:b/>
        </w:rPr>
        <w:t xml:space="preserve"> Relative risk</w:t>
      </w:r>
      <w:r w:rsidR="002754A6">
        <w:rPr>
          <w:b/>
        </w:rPr>
        <w:t>s</w:t>
      </w:r>
    </w:p>
    <w:p w14:paraId="36F9BFA0" w14:textId="77777777" w:rsidR="00D74367" w:rsidRDefault="00D74367" w:rsidP="00D74367">
      <w:pPr>
        <w:rPr>
          <w:u w:val="single"/>
        </w:rPr>
      </w:pPr>
    </w:p>
    <w:p w14:paraId="7023C768" w14:textId="0C1EC98F" w:rsidR="0061064D" w:rsidRDefault="0061064D" w:rsidP="008D3388">
      <w:pPr>
        <w:ind w:left="720"/>
        <w:rPr>
          <w:rFonts w:cs="Arial"/>
        </w:rPr>
      </w:pPr>
      <w:r>
        <w:rPr>
          <w:rFonts w:cs="Arial"/>
        </w:rPr>
        <w:t xml:space="preserve">Frequently, the news media will report the results of a study and say something like “the researchers showed that an individual was &lt;number&gt; times more likely to get &lt;disease&gt; if they did &lt;one behavior choice&gt; than &lt;second behavior choice&gt;. IF the reporter understands basic statistics, they are reporting about a numerical measure called the </w:t>
      </w:r>
      <w:r w:rsidRPr="0061064D">
        <w:rPr>
          <w:rFonts w:cs="Arial"/>
          <w:i/>
        </w:rPr>
        <w:t>relative risk</w:t>
      </w:r>
      <w:r>
        <w:rPr>
          <w:rFonts w:cs="Arial"/>
        </w:rPr>
        <w:t xml:space="preserve">.  </w:t>
      </w:r>
    </w:p>
    <w:p w14:paraId="27A5CCE8" w14:textId="77777777" w:rsidR="0061064D" w:rsidRDefault="0061064D" w:rsidP="008D3388">
      <w:pPr>
        <w:ind w:left="720"/>
        <w:rPr>
          <w:rFonts w:cs="Arial"/>
        </w:rPr>
      </w:pPr>
    </w:p>
    <w:p w14:paraId="26393DAC" w14:textId="54F327DB" w:rsidR="00690CE0" w:rsidRDefault="00690CE0" w:rsidP="008D3388">
      <w:pPr>
        <w:ind w:left="720"/>
        <w:rPr>
          <w:rFonts w:cs="Arial"/>
        </w:rPr>
      </w:pPr>
      <w:r>
        <w:rPr>
          <w:rFonts w:cs="Arial"/>
        </w:rPr>
        <w:t xml:space="preserve">One </w:t>
      </w:r>
      <w:r w:rsidRPr="00690CE0">
        <w:rPr>
          <w:rFonts w:cs="Arial"/>
        </w:rPr>
        <w:t xml:space="preserve">problem with basing inference on </w:t>
      </w:r>
      <w:r>
        <w:rPr>
          <w:rFonts w:cs="Arial"/>
        </w:rPr>
        <w:sym w:font="Symbol" w:char="F070"/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– </w:t>
      </w:r>
      <w:r>
        <w:rPr>
          <w:rFonts w:cs="Arial"/>
        </w:rPr>
        <w:sym w:font="Symbol" w:char="F070"/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</w:t>
      </w:r>
      <w:r w:rsidRPr="00690CE0">
        <w:rPr>
          <w:rFonts w:cs="Arial"/>
        </w:rPr>
        <w:t xml:space="preserve">is that it </w:t>
      </w:r>
      <w:r>
        <w:rPr>
          <w:rFonts w:cs="Arial"/>
        </w:rPr>
        <w:t>m</w:t>
      </w:r>
      <w:r w:rsidRPr="00690CE0">
        <w:rPr>
          <w:rFonts w:cs="Arial"/>
        </w:rPr>
        <w:t xml:space="preserve">easures a quantity </w:t>
      </w:r>
      <w:r w:rsidR="00FD6166">
        <w:rPr>
          <w:rFonts w:cs="Arial"/>
        </w:rPr>
        <w:t>with a</w:t>
      </w:r>
      <w:r w:rsidRPr="00690CE0">
        <w:rPr>
          <w:rFonts w:cs="Arial"/>
        </w:rPr>
        <w:t xml:space="preserve"> meaning</w:t>
      </w:r>
      <w:r>
        <w:rPr>
          <w:rFonts w:cs="Arial"/>
        </w:rPr>
        <w:t xml:space="preserve"> </w:t>
      </w:r>
      <w:r w:rsidR="00FD6166">
        <w:rPr>
          <w:rFonts w:cs="Arial"/>
        </w:rPr>
        <w:t xml:space="preserve">that </w:t>
      </w:r>
      <w:r w:rsidRPr="00690CE0">
        <w:rPr>
          <w:rFonts w:cs="Arial"/>
        </w:rPr>
        <w:t xml:space="preserve">changes depending on the sizes of </w:t>
      </w:r>
      <w:r>
        <w:rPr>
          <w:rFonts w:cs="Arial"/>
        </w:rPr>
        <w:sym w:font="Symbol" w:char="F070"/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– </w:t>
      </w:r>
      <w:r>
        <w:rPr>
          <w:rFonts w:cs="Arial"/>
        </w:rPr>
        <w:sym w:font="Symbol" w:char="F070"/>
      </w:r>
      <w:r>
        <w:rPr>
          <w:rFonts w:cs="Arial"/>
          <w:vertAlign w:val="subscript"/>
        </w:rPr>
        <w:t>2</w:t>
      </w:r>
      <w:r>
        <w:rPr>
          <w:rFonts w:cs="Arial"/>
        </w:rPr>
        <w:t>. For example, consider the following two scenarios:</w:t>
      </w:r>
    </w:p>
    <w:p w14:paraId="7CFFB7DD" w14:textId="77777777" w:rsidR="00690CE0" w:rsidRDefault="00690CE0" w:rsidP="00690CE0">
      <w:pPr>
        <w:rPr>
          <w:rFonts w:cs="Arial"/>
        </w:rPr>
      </w:pPr>
    </w:p>
    <w:tbl>
      <w:tblPr>
        <w:tblW w:w="8879" w:type="dxa"/>
        <w:jc w:val="center"/>
        <w:tblLook w:val="0000" w:firstRow="0" w:lastRow="0" w:firstColumn="0" w:lastColumn="0" w:noHBand="0" w:noVBand="0"/>
      </w:tblPr>
      <w:tblGrid>
        <w:gridCol w:w="1662"/>
        <w:gridCol w:w="2292"/>
        <w:gridCol w:w="2826"/>
        <w:gridCol w:w="2099"/>
      </w:tblGrid>
      <w:tr w:rsidR="00690CE0" w:rsidRPr="001D29CE" w14:paraId="18ED553F" w14:textId="77777777" w:rsidTr="00974F38">
        <w:trPr>
          <w:trHeight w:val="255"/>
          <w:jc w:val="center"/>
        </w:trPr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D84F4" w14:textId="77777777" w:rsidR="00690CE0" w:rsidRPr="001D29CE" w:rsidRDefault="00D74367" w:rsidP="00C726A8">
            <w:pPr>
              <w:jc w:val="center"/>
              <w:rPr>
                <w:rFonts w:cs="Arial"/>
              </w:rPr>
            </w:pPr>
            <w:r>
              <w:rPr>
                <w:u w:val="single"/>
              </w:rPr>
              <w:br w:type="page"/>
            </w:r>
          </w:p>
        </w:tc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8598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Adverse reactions</w:t>
            </w:r>
          </w:p>
        </w:tc>
        <w:tc>
          <w:tcPr>
            <w:tcW w:w="209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6BE2EB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</w:tr>
      <w:tr w:rsidR="00690CE0" w:rsidRPr="001D29CE" w14:paraId="59781C74" w14:textId="77777777" w:rsidTr="00690CE0">
        <w:trPr>
          <w:trHeight w:val="255"/>
          <w:jc w:val="center"/>
        </w:trPr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1FBC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64EE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0567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F45DD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Total</w:t>
            </w:r>
          </w:p>
        </w:tc>
      </w:tr>
      <w:tr w:rsidR="00690CE0" w:rsidRPr="001D29CE" w14:paraId="29A02CDD" w14:textId="77777777" w:rsidTr="00690CE0">
        <w:trPr>
          <w:trHeight w:val="25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8101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Drug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EEA9" w14:textId="77777777" w:rsidR="00690CE0" w:rsidRPr="0005171E" w:rsidRDefault="00690CE0" w:rsidP="00C726A8">
            <w:pPr>
              <w:jc w:val="center"/>
              <w:rPr>
                <w:rFonts w:cs="Arial"/>
              </w:rPr>
            </w:pPr>
            <w:r>
              <w:sym w:font="Symbol" w:char="F070"/>
            </w:r>
            <w:r>
              <w:rPr>
                <w:vertAlign w:val="subscript"/>
              </w:rPr>
              <w:t xml:space="preserve">1 </w:t>
            </w:r>
            <w:r>
              <w:rPr>
                <w:sz w:val="36"/>
              </w:rPr>
              <w:t xml:space="preserve">= </w:t>
            </w:r>
            <w:r w:rsidRPr="0005171E">
              <w:rPr>
                <w:rFonts w:cs="Arial"/>
              </w:rPr>
              <w:t>0.</w:t>
            </w:r>
            <w:r>
              <w:rPr>
                <w:rFonts w:cs="Arial"/>
              </w:rPr>
              <w:t>510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A76E" w14:textId="77777777" w:rsidR="00690CE0" w:rsidRPr="00690CE0" w:rsidRDefault="00690CE0" w:rsidP="00690CE0">
            <w:pPr>
              <w:jc w:val="center"/>
            </w:pPr>
            <w:r>
              <w:t xml:space="preserve">1 – </w:t>
            </w:r>
            <w:r>
              <w:sym w:font="Symbol" w:char="F070"/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rPr>
                <w:sz w:val="36"/>
              </w:rPr>
              <w:t xml:space="preserve">= </w:t>
            </w:r>
            <w:r w:rsidRPr="001D29CE">
              <w:rPr>
                <w:rFonts w:cs="Arial"/>
              </w:rPr>
              <w:t>0.</w:t>
            </w:r>
            <w:r>
              <w:rPr>
                <w:rFonts w:cs="Arial"/>
              </w:rPr>
              <w:t>490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4FF3A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sz w:val="36"/>
              </w:rPr>
              <w:t>1</w:t>
            </w:r>
          </w:p>
        </w:tc>
      </w:tr>
      <w:tr w:rsidR="00690CE0" w:rsidRPr="001D29CE" w14:paraId="71DD2534" w14:textId="77777777" w:rsidTr="00690CE0">
        <w:trPr>
          <w:trHeight w:val="25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D722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Placebo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D359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sym w:font="Symbol" w:char="F070"/>
            </w:r>
            <w:r>
              <w:rPr>
                <w:vertAlign w:val="subscript"/>
              </w:rPr>
              <w:t xml:space="preserve">2 </w:t>
            </w:r>
            <w:r>
              <w:rPr>
                <w:sz w:val="36"/>
              </w:rPr>
              <w:t xml:space="preserve">= </w:t>
            </w:r>
            <w:r>
              <w:t>0.501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C650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t xml:space="preserve">1 – </w:t>
            </w:r>
            <w:r>
              <w:sym w:font="Symbol" w:char="F070"/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sz w:val="36"/>
              </w:rPr>
              <w:t xml:space="preserve">= </w:t>
            </w:r>
            <w:r w:rsidRPr="001D29CE">
              <w:rPr>
                <w:rFonts w:cs="Arial"/>
              </w:rPr>
              <w:t>0.</w:t>
            </w:r>
            <w:r>
              <w:rPr>
                <w:rFonts w:cs="Arial"/>
              </w:rPr>
              <w:t>499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6CD42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sz w:val="36"/>
              </w:rPr>
              <w:t>1</w:t>
            </w:r>
          </w:p>
        </w:tc>
      </w:tr>
    </w:tbl>
    <w:p w14:paraId="4BE93FFD" w14:textId="77777777" w:rsidR="00690CE0" w:rsidRDefault="00690CE0" w:rsidP="00690CE0">
      <w:pPr>
        <w:ind w:left="2160"/>
      </w:pP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= 0.510 – 0.501 = 0.009</w:t>
      </w:r>
    </w:p>
    <w:p w14:paraId="4E48AFBD" w14:textId="77777777" w:rsidR="00690CE0" w:rsidRDefault="00690CE0" w:rsidP="00690CE0">
      <w:pPr>
        <w:ind w:left="720"/>
      </w:pPr>
    </w:p>
    <w:tbl>
      <w:tblPr>
        <w:tblW w:w="8891" w:type="dxa"/>
        <w:jc w:val="center"/>
        <w:tblLook w:val="0000" w:firstRow="0" w:lastRow="0" w:firstColumn="0" w:lastColumn="0" w:noHBand="0" w:noVBand="0"/>
      </w:tblPr>
      <w:tblGrid>
        <w:gridCol w:w="1881"/>
        <w:gridCol w:w="2113"/>
        <w:gridCol w:w="2846"/>
        <w:gridCol w:w="2051"/>
      </w:tblGrid>
      <w:tr w:rsidR="00690CE0" w:rsidRPr="001D29CE" w14:paraId="1820A5BB" w14:textId="77777777" w:rsidTr="00974F38">
        <w:trPr>
          <w:trHeight w:val="255"/>
          <w:jc w:val="center"/>
        </w:trPr>
        <w:tc>
          <w:tcPr>
            <w:tcW w:w="1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D5E7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DC81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Adverse reactions</w:t>
            </w:r>
          </w:p>
        </w:tc>
        <w:tc>
          <w:tcPr>
            <w:tcW w:w="20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BE415AF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</w:tr>
      <w:tr w:rsidR="00690CE0" w:rsidRPr="001D29CE" w14:paraId="53E1997A" w14:textId="77777777" w:rsidTr="00EC4EED">
        <w:trPr>
          <w:trHeight w:val="255"/>
          <w:jc w:val="center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B187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6388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29EF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95AEB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Total</w:t>
            </w:r>
          </w:p>
        </w:tc>
      </w:tr>
      <w:tr w:rsidR="00690CE0" w:rsidRPr="001D29CE" w14:paraId="6A050E59" w14:textId="77777777" w:rsidTr="00EC4EED">
        <w:trPr>
          <w:trHeight w:val="25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B3D4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Drug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875C" w14:textId="77777777" w:rsidR="00690CE0" w:rsidRPr="0005171E" w:rsidRDefault="00690CE0" w:rsidP="00C726A8">
            <w:pPr>
              <w:jc w:val="center"/>
              <w:rPr>
                <w:rFonts w:cs="Arial"/>
              </w:rPr>
            </w:pPr>
            <w:r>
              <w:sym w:font="Symbol" w:char="F070"/>
            </w:r>
            <w:r>
              <w:rPr>
                <w:vertAlign w:val="subscript"/>
              </w:rPr>
              <w:t xml:space="preserve">1 </w:t>
            </w:r>
            <w:r>
              <w:rPr>
                <w:sz w:val="36"/>
              </w:rPr>
              <w:t xml:space="preserve">= </w:t>
            </w:r>
            <w:r w:rsidRPr="0005171E">
              <w:rPr>
                <w:rFonts w:cs="Arial"/>
              </w:rPr>
              <w:t>0.</w:t>
            </w:r>
            <w:r>
              <w:rPr>
                <w:rFonts w:cs="Arial"/>
              </w:rPr>
              <w:t>010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A8DE" w14:textId="77777777" w:rsidR="00690CE0" w:rsidRPr="001D29CE" w:rsidRDefault="00690CE0" w:rsidP="00690CE0">
            <w:pPr>
              <w:jc w:val="center"/>
              <w:rPr>
                <w:rFonts w:cs="Arial"/>
              </w:rPr>
            </w:pPr>
            <w:r>
              <w:t xml:space="preserve">1 – </w:t>
            </w:r>
            <w:r>
              <w:sym w:font="Symbol" w:char="F070"/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rPr>
                <w:sz w:val="36"/>
              </w:rPr>
              <w:t xml:space="preserve">= </w:t>
            </w:r>
            <w:r w:rsidRPr="001D29CE">
              <w:rPr>
                <w:rFonts w:cs="Arial"/>
              </w:rPr>
              <w:t>0.</w:t>
            </w:r>
            <w:r>
              <w:rPr>
                <w:rFonts w:cs="Arial"/>
              </w:rPr>
              <w:t>990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01B54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sz w:val="36"/>
              </w:rPr>
              <w:t>1</w:t>
            </w:r>
          </w:p>
        </w:tc>
      </w:tr>
      <w:tr w:rsidR="00690CE0" w:rsidRPr="001D29CE" w14:paraId="14598371" w14:textId="77777777" w:rsidTr="00EC4EED">
        <w:trPr>
          <w:trHeight w:val="25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6C4F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Placebo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F5D4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sym w:font="Symbol" w:char="F070"/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sz w:val="36"/>
              </w:rPr>
              <w:t xml:space="preserve">= </w:t>
            </w:r>
            <w:r>
              <w:t>0.001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ABC5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t xml:space="preserve">1 – </w:t>
            </w:r>
            <w:r>
              <w:sym w:font="Symbol" w:char="F070"/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sz w:val="36"/>
              </w:rPr>
              <w:t xml:space="preserve">= </w:t>
            </w:r>
            <w:r w:rsidRPr="001D29CE">
              <w:rPr>
                <w:rFonts w:cs="Arial"/>
              </w:rPr>
              <w:t>0.</w:t>
            </w:r>
            <w:r>
              <w:rPr>
                <w:rFonts w:cs="Arial"/>
              </w:rPr>
              <w:t>999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471AA" w14:textId="77777777" w:rsidR="00690CE0" w:rsidRPr="001D29CE" w:rsidRDefault="00690CE0" w:rsidP="00C726A8">
            <w:pPr>
              <w:jc w:val="center"/>
              <w:rPr>
                <w:rFonts w:cs="Arial"/>
              </w:rPr>
            </w:pPr>
            <w:r>
              <w:rPr>
                <w:sz w:val="36"/>
              </w:rPr>
              <w:t>1</w:t>
            </w:r>
          </w:p>
        </w:tc>
      </w:tr>
    </w:tbl>
    <w:p w14:paraId="4914431E" w14:textId="77777777" w:rsidR="00690CE0" w:rsidRDefault="00690CE0" w:rsidP="00690CE0">
      <w:pPr>
        <w:ind w:left="2160"/>
      </w:pP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= 0.010 – 0.001 = 0.009</w:t>
      </w:r>
    </w:p>
    <w:p w14:paraId="295FB12A" w14:textId="77777777" w:rsidR="00D74367" w:rsidRDefault="00D74367" w:rsidP="00690CE0">
      <w:pPr>
        <w:rPr>
          <w:u w:val="single"/>
        </w:rPr>
      </w:pPr>
    </w:p>
    <w:p w14:paraId="571C54E0" w14:textId="77777777" w:rsidR="00EC4EED" w:rsidRDefault="00EC4EED" w:rsidP="00EC4EED">
      <w:pPr>
        <w:ind w:left="720"/>
      </w:pPr>
      <w:r>
        <w:t>I</w:t>
      </w:r>
      <w:r w:rsidRPr="00EC4EED">
        <w:t>n the first scenar</w:t>
      </w:r>
      <w:r>
        <w:t xml:space="preserve">io, an increase of 0.009 </w:t>
      </w:r>
      <w:r w:rsidRPr="00EC4EED">
        <w:t xml:space="preserve">is rather small </w:t>
      </w:r>
      <w:r w:rsidRPr="003C1B2E">
        <w:rPr>
          <w:b/>
        </w:rPr>
        <w:t>relative</w:t>
      </w:r>
      <w:r w:rsidRPr="00EC4EED">
        <w:t xml:space="preserve"> to the already sizable </w:t>
      </w:r>
      <w:r>
        <w:t xml:space="preserve">probabilities given for the </w:t>
      </w:r>
      <w:r>
        <w:lastRenderedPageBreak/>
        <w:t>two groups.</w:t>
      </w:r>
      <w:r w:rsidRPr="00EC4EED">
        <w:t xml:space="preserve"> On the other hand, </w:t>
      </w:r>
      <w:r>
        <w:t xml:space="preserve">the second </w:t>
      </w:r>
      <w:r w:rsidRPr="00EC4EED">
        <w:t xml:space="preserve">scenario </w:t>
      </w:r>
      <w:r w:rsidR="003C1B2E">
        <w:t xml:space="preserve">has a much larger adverse reaction probability for the drug group </w:t>
      </w:r>
      <w:r w:rsidR="003C1B2E" w:rsidRPr="003C1B2E">
        <w:rPr>
          <w:b/>
        </w:rPr>
        <w:t>relative</w:t>
      </w:r>
      <w:r w:rsidRPr="00EC4EED">
        <w:t xml:space="preserve"> </w:t>
      </w:r>
      <w:r w:rsidR="003C1B2E">
        <w:t>to the placebo group</w:t>
      </w:r>
      <w:r w:rsidRPr="00EC4EED">
        <w:t xml:space="preserve">. </w:t>
      </w:r>
    </w:p>
    <w:p w14:paraId="74F0ED30" w14:textId="77777777" w:rsidR="00EC4EED" w:rsidRDefault="00EC4EED" w:rsidP="00EC4EED">
      <w:pPr>
        <w:ind w:left="720"/>
      </w:pPr>
    </w:p>
    <w:p w14:paraId="59C84625" w14:textId="77777777" w:rsidR="00EC4EED" w:rsidRDefault="00EC4EED" w:rsidP="00EC4EED">
      <w:pPr>
        <w:ind w:left="720"/>
      </w:pPr>
      <w:r w:rsidRPr="00EC4EED">
        <w:t>We need to be able to convey the relative magnitudes of these changes better than differences allow.</w:t>
      </w:r>
      <w:r w:rsidR="002A0215">
        <w:t xml:space="preserve"> </w:t>
      </w:r>
      <w:r w:rsidR="002A0215" w:rsidRPr="00237499">
        <w:t xml:space="preserve">The </w:t>
      </w:r>
      <w:r w:rsidR="002A0215" w:rsidRPr="00216972">
        <w:rPr>
          <w:u w:val="single"/>
        </w:rPr>
        <w:t>relative risk</w:t>
      </w:r>
      <w:r w:rsidR="002A0215">
        <w:t xml:space="preserve"> allows us to make these comparisons by taking the ratio of the two success probabilities:</w:t>
      </w:r>
    </w:p>
    <w:p w14:paraId="7337CF15" w14:textId="77777777" w:rsidR="002A0215" w:rsidRDefault="002A0215" w:rsidP="00EC4EED">
      <w:pPr>
        <w:ind w:left="720"/>
      </w:pPr>
    </w:p>
    <w:p w14:paraId="3F104A12" w14:textId="77777777" w:rsidR="002A0215" w:rsidRPr="00EC4EED" w:rsidRDefault="002A0215" w:rsidP="002A0215">
      <w:pPr>
        <w:ind w:left="1440"/>
      </w:pPr>
      <w:r w:rsidRPr="002A0215">
        <w:rPr>
          <w:position w:val="-40"/>
        </w:rPr>
        <w:object w:dxaOrig="1500" w:dyaOrig="1020" w14:anchorId="122AC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3.6pt" o:ole="">
            <v:imagedata r:id="rId8" o:title=""/>
          </v:shape>
          <o:OLEObject Type="Embed" ProgID="Equation.DSMT4" ShapeID="_x0000_i1025" DrawAspect="Content" ObjectID="_1737540483" r:id="rId9"/>
        </w:object>
      </w:r>
    </w:p>
    <w:p w14:paraId="6EF66EAD" w14:textId="77777777" w:rsidR="00EC4EED" w:rsidRPr="00EC4EED" w:rsidRDefault="00EC4EED" w:rsidP="00690CE0"/>
    <w:p w14:paraId="7F00D064" w14:textId="036F94F1" w:rsidR="002A0215" w:rsidRPr="004A58B7" w:rsidRDefault="002A0215" w:rsidP="00C660D0">
      <w:pPr>
        <w:ind w:left="720"/>
      </w:pPr>
      <w:r w:rsidRPr="004A58B7">
        <w:t>For scenario #2</w:t>
      </w:r>
      <w:r w:rsidR="00C660D0" w:rsidRPr="004A58B7">
        <w:t xml:space="preserve">, </w:t>
      </w:r>
      <w:r w:rsidRPr="004A58B7">
        <w:t>the relative risk is RR = 0.010/0.001 = 10. The interpretation for this case is:</w:t>
      </w:r>
    </w:p>
    <w:p w14:paraId="5D477BBF" w14:textId="77777777" w:rsidR="002A0215" w:rsidRPr="004A58B7" w:rsidRDefault="002A0215" w:rsidP="00C660D0">
      <w:pPr>
        <w:ind w:left="720"/>
      </w:pPr>
    </w:p>
    <w:p w14:paraId="206C3FDC" w14:textId="34EC0A7D" w:rsidR="005A2467" w:rsidRDefault="005A2467" w:rsidP="002A0215">
      <w:pPr>
        <w:ind w:left="1440"/>
      </w:pPr>
      <w:r>
        <w:t>A</w:t>
      </w:r>
      <w:r w:rsidRPr="004A58B7">
        <w:t xml:space="preserve">n adverse reaction is 10 </w:t>
      </w:r>
      <w:r w:rsidRPr="004A58B7">
        <w:rPr>
          <w:i/>
        </w:rPr>
        <w:t xml:space="preserve">times </w:t>
      </w:r>
      <w:r w:rsidRPr="00FD6166">
        <w:rPr>
          <w:i/>
          <w:u w:val="single"/>
        </w:rPr>
        <w:t>as</w:t>
      </w:r>
      <w:r w:rsidRPr="004A58B7">
        <w:rPr>
          <w:i/>
        </w:rPr>
        <w:t xml:space="preserve"> likely</w:t>
      </w:r>
      <w:r w:rsidRPr="004A58B7">
        <w:t xml:space="preserve"> for those individuals taking the drug than those individuals taking the placebo.</w:t>
      </w:r>
    </w:p>
    <w:p w14:paraId="5E5B1A8D" w14:textId="77777777" w:rsidR="005A2467" w:rsidRDefault="005A2467" w:rsidP="002A0215">
      <w:pPr>
        <w:ind w:left="1440"/>
      </w:pPr>
    </w:p>
    <w:p w14:paraId="0FD3F26B" w14:textId="51079FFA" w:rsidR="005A2467" w:rsidRDefault="005A2467" w:rsidP="005A2467">
      <w:pPr>
        <w:ind w:left="720"/>
      </w:pPr>
      <w:r>
        <w:t xml:space="preserve">or </w:t>
      </w:r>
    </w:p>
    <w:p w14:paraId="4B949779" w14:textId="77777777" w:rsidR="005A2467" w:rsidRDefault="005A2467" w:rsidP="005A2467">
      <w:pPr>
        <w:ind w:left="720"/>
      </w:pPr>
    </w:p>
    <w:p w14:paraId="40A4C200" w14:textId="30E30217" w:rsidR="005A2467" w:rsidRDefault="005A2467" w:rsidP="005A2467">
      <w:pPr>
        <w:ind w:left="1440"/>
      </w:pPr>
      <w:r w:rsidRPr="005A2467">
        <w:t>The probability of an</w:t>
      </w:r>
      <w:r w:rsidRPr="004A58B7">
        <w:t xml:space="preserve"> adverse reaction is 10 </w:t>
      </w:r>
      <w:r w:rsidRPr="004A58B7">
        <w:rPr>
          <w:i/>
        </w:rPr>
        <w:t xml:space="preserve">times </w:t>
      </w:r>
      <w:r w:rsidRPr="00FD6166">
        <w:rPr>
          <w:i/>
          <w:u w:val="single"/>
        </w:rPr>
        <w:t>as large</w:t>
      </w:r>
      <w:r w:rsidRPr="004A58B7">
        <w:t xml:space="preserve"> for those individuals taking the drug than those individuals taking the placebo. </w:t>
      </w:r>
    </w:p>
    <w:p w14:paraId="41278CB3" w14:textId="77777777" w:rsidR="00A122BF" w:rsidRDefault="00A122BF" w:rsidP="005A2467"/>
    <w:p w14:paraId="4DF576BA" w14:textId="7B071977" w:rsidR="002A0215" w:rsidRPr="004A58B7" w:rsidRDefault="00A122BF" w:rsidP="002A0215">
      <w:pPr>
        <w:ind w:left="720"/>
      </w:pPr>
      <w:r>
        <w:t xml:space="preserve">where </w:t>
      </w:r>
      <w:r w:rsidR="005A2467">
        <w:t xml:space="preserve">“likely” and “probability” are </w:t>
      </w:r>
      <w:r w:rsidR="005A2467" w:rsidRPr="005A2467">
        <w:t>synonymous</w:t>
      </w:r>
      <w:r w:rsidR="005A2467">
        <w:t xml:space="preserve">. </w:t>
      </w:r>
      <w:r w:rsidR="002A0215" w:rsidRPr="004A58B7">
        <w:t>Alternatively, we could also say,</w:t>
      </w:r>
    </w:p>
    <w:p w14:paraId="06622596" w14:textId="77777777" w:rsidR="005A2467" w:rsidRDefault="005A2467" w:rsidP="005A2467"/>
    <w:p w14:paraId="3AB602BD" w14:textId="719E1D2E" w:rsidR="005A2467" w:rsidRDefault="005A2467" w:rsidP="005A2467">
      <w:pPr>
        <w:ind w:left="1440"/>
      </w:pPr>
      <w:r>
        <w:lastRenderedPageBreak/>
        <w:t xml:space="preserve">An adverse reaction is </w:t>
      </w:r>
      <w:r w:rsidRPr="004A58B7">
        <w:t xml:space="preserve">9 </w:t>
      </w:r>
      <w:r w:rsidRPr="005A2467">
        <w:rPr>
          <w:i/>
        </w:rPr>
        <w:t>times</w:t>
      </w:r>
      <w:r w:rsidRPr="004A58B7">
        <w:t xml:space="preserve"> </w:t>
      </w:r>
      <w:r w:rsidRPr="00FD6166">
        <w:rPr>
          <w:i/>
          <w:u w:val="single"/>
        </w:rPr>
        <w:t>more</w:t>
      </w:r>
      <w:r w:rsidRPr="004A58B7">
        <w:t xml:space="preserve"> </w:t>
      </w:r>
      <w:r w:rsidRPr="005A2467">
        <w:rPr>
          <w:i/>
        </w:rPr>
        <w:t>likely</w:t>
      </w:r>
      <w:r>
        <w:t xml:space="preserve"> for</w:t>
      </w:r>
      <w:r w:rsidRPr="005A2467">
        <w:t xml:space="preserve"> </w:t>
      </w:r>
      <w:r>
        <w:t xml:space="preserve">individuals taking the drug than those individuals taking the placebo. </w:t>
      </w:r>
    </w:p>
    <w:p w14:paraId="28223CC7" w14:textId="77777777" w:rsidR="005A2467" w:rsidRDefault="005A2467" w:rsidP="005A2467">
      <w:pPr>
        <w:ind w:left="1440"/>
      </w:pPr>
    </w:p>
    <w:p w14:paraId="44826733" w14:textId="77777777" w:rsidR="005A2467" w:rsidRDefault="005A2467" w:rsidP="005A2467">
      <w:pPr>
        <w:ind w:left="720"/>
      </w:pPr>
      <w:r>
        <w:t xml:space="preserve">or </w:t>
      </w:r>
    </w:p>
    <w:p w14:paraId="59BDDF40" w14:textId="77777777" w:rsidR="005A2467" w:rsidRDefault="005A2467" w:rsidP="005A2467">
      <w:pPr>
        <w:ind w:left="720"/>
      </w:pPr>
    </w:p>
    <w:p w14:paraId="325CB3B0" w14:textId="2D97625C" w:rsidR="005A2467" w:rsidRDefault="005A2467" w:rsidP="005A2467">
      <w:pPr>
        <w:ind w:left="1440"/>
      </w:pPr>
      <w:r>
        <w:t xml:space="preserve">The probability of an adverse reaction is 9 </w:t>
      </w:r>
      <w:r w:rsidRPr="005A2467">
        <w:rPr>
          <w:i/>
        </w:rPr>
        <w:t>times</w:t>
      </w:r>
      <w:r>
        <w:t xml:space="preserve"> </w:t>
      </w:r>
      <w:r w:rsidRPr="00FD6166">
        <w:rPr>
          <w:i/>
          <w:u w:val="single"/>
        </w:rPr>
        <w:t>large</w:t>
      </w:r>
      <w:r w:rsidR="00B00DB5" w:rsidRPr="00FD6166">
        <w:rPr>
          <w:i/>
          <w:u w:val="single"/>
        </w:rPr>
        <w:t>r</w:t>
      </w:r>
      <w:r>
        <w:t xml:space="preserve"> for individuals taking the drug than those individuals taking the placebo. </w:t>
      </w:r>
    </w:p>
    <w:p w14:paraId="62E461D5" w14:textId="77777777" w:rsidR="002A0215" w:rsidRDefault="002A0215" w:rsidP="002A0215">
      <w:pPr>
        <w:ind w:left="1440"/>
      </w:pPr>
    </w:p>
    <w:p w14:paraId="6E8A1E17" w14:textId="4B7F1F3A" w:rsidR="002A0215" w:rsidRDefault="002A0215" w:rsidP="002A0215">
      <w:pPr>
        <w:ind w:left="720"/>
      </w:pPr>
      <w:r>
        <w:t xml:space="preserve">Why does one interpretation have 10 (RR) and another have 9 (RR – 1)? </w:t>
      </w:r>
      <w:r w:rsidR="00C726A8">
        <w:t>It can be helpful to look at some examples.</w:t>
      </w:r>
    </w:p>
    <w:p w14:paraId="43B13FE8" w14:textId="77777777" w:rsidR="002A0215" w:rsidRDefault="002A0215" w:rsidP="002A0215">
      <w:pPr>
        <w:ind w:left="720"/>
      </w:pPr>
    </w:p>
    <w:p w14:paraId="5220F807" w14:textId="1195AA02" w:rsidR="00B770BC" w:rsidRDefault="00B770BC" w:rsidP="00B806E2">
      <w:pPr>
        <w:pStyle w:val="ListParagraph"/>
        <w:numPr>
          <w:ilvl w:val="0"/>
          <w:numId w:val="12"/>
        </w:numPr>
      </w:pPr>
      <w:r>
        <w:t xml:space="preserve">“3 times </w:t>
      </w:r>
      <w:r w:rsidRPr="00B806E2">
        <w:rPr>
          <w:u w:val="single"/>
        </w:rPr>
        <w:t>as</w:t>
      </w:r>
      <w:r>
        <w:t xml:space="preserve"> likely” and “2 times </w:t>
      </w:r>
      <w:r w:rsidRPr="00B806E2">
        <w:rPr>
          <w:u w:val="single"/>
        </w:rPr>
        <w:t>more</w:t>
      </w:r>
      <w:r>
        <w:t xml:space="preserve"> likely” </w:t>
      </w:r>
      <w:r w:rsidR="00EE2F31">
        <w:t>are</w:t>
      </w:r>
      <w:bookmarkStart w:id="0" w:name="_GoBack"/>
      <w:bookmarkEnd w:id="0"/>
      <w:r>
        <w:t xml:space="preserve"> equivalent to </w:t>
      </w:r>
      <w:r>
        <w:sym w:font="Symbol" w:char="F070"/>
      </w:r>
      <w:r w:rsidRPr="00B806E2">
        <w:rPr>
          <w:vertAlign w:val="subscript"/>
        </w:rPr>
        <w:t>1</w:t>
      </w:r>
      <w:r>
        <w:t>/</w:t>
      </w:r>
      <w:r>
        <w:sym w:font="Symbol" w:char="F070"/>
      </w:r>
      <w:r w:rsidRPr="00B806E2">
        <w:rPr>
          <w:vertAlign w:val="subscript"/>
        </w:rPr>
        <w:t>2</w:t>
      </w:r>
      <w:r>
        <w:t xml:space="preserve"> = 0.75/0.25 = </w:t>
      </w:r>
      <w:proofErr w:type="gramStart"/>
      <w:r>
        <w:t>3</w:t>
      </w:r>
      <w:proofErr w:type="gramEnd"/>
      <w:r>
        <w:t xml:space="preserve">. </w:t>
      </w:r>
    </w:p>
    <w:p w14:paraId="5B607A99" w14:textId="77777777" w:rsidR="00B770BC" w:rsidRDefault="00B770BC" w:rsidP="00B770BC">
      <w:pPr>
        <w:ind w:left="1440"/>
      </w:pPr>
    </w:p>
    <w:p w14:paraId="481E7763" w14:textId="25F9C545" w:rsidR="00B770BC" w:rsidRDefault="00B770BC" w:rsidP="00B770BC">
      <w:pPr>
        <w:ind w:left="2160"/>
      </w:pPr>
      <w:r>
        <w:t xml:space="preserve">“3 times </w:t>
      </w:r>
      <w:r w:rsidRPr="004162DB">
        <w:rPr>
          <w:u w:val="single"/>
        </w:rPr>
        <w:t>as</w:t>
      </w:r>
      <w:r>
        <w:t xml:space="preserve"> likely”: To get </w:t>
      </w:r>
      <w:r>
        <w:sym w:font="Symbol" w:char="F070"/>
      </w:r>
      <w:r w:rsidRPr="00B770BC">
        <w:rPr>
          <w:vertAlign w:val="subscript"/>
        </w:rPr>
        <w:t>1</w:t>
      </w:r>
      <w:r>
        <w:t xml:space="preserve"> = </w:t>
      </w:r>
      <w:r w:rsidRPr="00B770BC">
        <w:t>0</w:t>
      </w:r>
      <w:r>
        <w:t xml:space="preserve">.75, one needs to take </w:t>
      </w:r>
      <w:r>
        <w:sym w:font="Symbol" w:char="F070"/>
      </w:r>
      <w:r>
        <w:rPr>
          <w:vertAlign w:val="subscript"/>
        </w:rPr>
        <w:t>2</w:t>
      </w:r>
      <w:r w:rsidRPr="00B770BC">
        <w:t xml:space="preserve"> </w:t>
      </w:r>
      <w:r>
        <w:t xml:space="preserve">+ </w:t>
      </w:r>
      <w:r>
        <w:sym w:font="Symbol" w:char="F070"/>
      </w:r>
      <w:r>
        <w:rPr>
          <w:vertAlign w:val="subscript"/>
        </w:rPr>
        <w:t>2</w:t>
      </w:r>
      <w:r w:rsidRPr="00B770BC">
        <w:t xml:space="preserve"> </w:t>
      </w:r>
      <w:r>
        <w:t xml:space="preserve">+ </w:t>
      </w:r>
      <w:r>
        <w:sym w:font="Symbol" w:char="F070"/>
      </w:r>
      <w:r>
        <w:rPr>
          <w:vertAlign w:val="subscript"/>
        </w:rPr>
        <w:t>2</w:t>
      </w:r>
      <w:r w:rsidRPr="00B770BC">
        <w:t xml:space="preserve"> </w:t>
      </w:r>
      <w:r>
        <w:t>= 0.25 + 0.25 + 0.25</w:t>
      </w:r>
    </w:p>
    <w:p w14:paraId="7F710C8B" w14:textId="2EFB332C" w:rsidR="00B770BC" w:rsidRDefault="00B770BC" w:rsidP="00B770BC">
      <w:pPr>
        <w:ind w:left="2160"/>
      </w:pPr>
    </w:p>
    <w:p w14:paraId="75E6F06E" w14:textId="3D6689B9" w:rsidR="00B770BC" w:rsidRDefault="00B770BC" w:rsidP="00B770BC">
      <w:pPr>
        <w:ind w:left="2160"/>
      </w:pPr>
      <w:r>
        <w:t xml:space="preserve">“2 times </w:t>
      </w:r>
      <w:r w:rsidRPr="004162DB">
        <w:rPr>
          <w:u w:val="single"/>
        </w:rPr>
        <w:t>more</w:t>
      </w:r>
      <w:r>
        <w:t xml:space="preserve"> likely”: To get </w:t>
      </w:r>
      <w:r>
        <w:sym w:font="Symbol" w:char="F070"/>
      </w:r>
      <w:r w:rsidRPr="00B770BC">
        <w:rPr>
          <w:vertAlign w:val="subscript"/>
        </w:rPr>
        <w:t>1</w:t>
      </w:r>
      <w:r>
        <w:t xml:space="preserve"> = 0.75, one starts with 0.25 and take </w:t>
      </w:r>
      <w:r>
        <w:sym w:font="Symbol" w:char="F070"/>
      </w:r>
      <w:r>
        <w:rPr>
          <w:vertAlign w:val="subscript"/>
        </w:rPr>
        <w:t>2</w:t>
      </w:r>
      <w:r w:rsidRPr="00B770BC">
        <w:t xml:space="preserve"> </w:t>
      </w:r>
      <w:r>
        <w:t xml:space="preserve">+ </w:t>
      </w:r>
      <w:r>
        <w:sym w:font="Symbol" w:char="F070"/>
      </w:r>
      <w:r>
        <w:rPr>
          <w:vertAlign w:val="subscript"/>
        </w:rPr>
        <w:t>2</w:t>
      </w:r>
      <w:r w:rsidRPr="00B770BC">
        <w:t xml:space="preserve"> </w:t>
      </w:r>
      <w:r>
        <w:t>= 0.25 + 0.25</w:t>
      </w:r>
    </w:p>
    <w:p w14:paraId="74E40A8F" w14:textId="77777777" w:rsidR="00B770BC" w:rsidRDefault="00B770BC" w:rsidP="00B770BC">
      <w:pPr>
        <w:ind w:left="1440"/>
      </w:pPr>
    </w:p>
    <w:p w14:paraId="5C67349F" w14:textId="47876E88" w:rsidR="00B806E2" w:rsidRDefault="00B806E2" w:rsidP="00B806E2">
      <w:pPr>
        <w:pStyle w:val="ListParagraph"/>
        <w:numPr>
          <w:ilvl w:val="0"/>
          <w:numId w:val="12"/>
        </w:numPr>
      </w:pPr>
      <w:r>
        <w:sym w:font="Symbol" w:char="F070"/>
      </w:r>
      <w:r w:rsidRPr="00B806E2">
        <w:rPr>
          <w:vertAlign w:val="subscript"/>
        </w:rPr>
        <w:t>1</w:t>
      </w:r>
      <w:r>
        <w:t>/</w:t>
      </w:r>
      <w:r>
        <w:sym w:font="Symbol" w:char="F070"/>
      </w:r>
      <w:r w:rsidRPr="00B806E2">
        <w:rPr>
          <w:vertAlign w:val="subscript"/>
        </w:rPr>
        <w:t>2</w:t>
      </w:r>
      <w:r>
        <w:t xml:space="preserve"> = 0.6/0.4 = 1.5 means that a success is 50% </w:t>
      </w:r>
      <w:r w:rsidRPr="00B806E2">
        <w:rPr>
          <w:u w:val="single"/>
        </w:rPr>
        <w:t>more</w:t>
      </w:r>
      <w:r>
        <w:t xml:space="preserve"> likely for group 1 than for group 2. Alternatively, a success is 1.5 times </w:t>
      </w:r>
      <w:proofErr w:type="gramStart"/>
      <w:r w:rsidRPr="00B806E2">
        <w:rPr>
          <w:u w:val="single"/>
        </w:rPr>
        <w:t>as</w:t>
      </w:r>
      <w:r>
        <w:t xml:space="preserve"> likely for group 1 than</w:t>
      </w:r>
      <w:proofErr w:type="gramEnd"/>
      <w:r>
        <w:t xml:space="preserve"> for group 2. </w:t>
      </w:r>
    </w:p>
    <w:p w14:paraId="3438CBEF" w14:textId="77777777" w:rsidR="00B806E2" w:rsidRPr="00E3756A" w:rsidRDefault="00B806E2" w:rsidP="00B806E2">
      <w:pPr>
        <w:pStyle w:val="ListParagraph"/>
        <w:numPr>
          <w:ilvl w:val="0"/>
          <w:numId w:val="12"/>
        </w:numPr>
      </w:pPr>
      <w:r>
        <w:lastRenderedPageBreak/>
        <w:t xml:space="preserve">“2 times as likely” is equivalent to </w:t>
      </w:r>
      <w:r>
        <w:sym w:font="Symbol" w:char="F070"/>
      </w:r>
      <w:r w:rsidRPr="00B806E2">
        <w:rPr>
          <w:vertAlign w:val="subscript"/>
        </w:rPr>
        <w:t>1</w:t>
      </w:r>
      <w:r>
        <w:t>/</w:t>
      </w:r>
      <w:r>
        <w:sym w:font="Symbol" w:char="F070"/>
      </w:r>
      <w:r w:rsidRPr="00B806E2">
        <w:rPr>
          <w:vertAlign w:val="subscript"/>
        </w:rPr>
        <w:t>2</w:t>
      </w:r>
      <w:r>
        <w:t xml:space="preserve"> = 0.6667/0.3333 = 2. In other words, </w:t>
      </w:r>
      <w:r>
        <w:sym w:font="Symbol" w:char="F070"/>
      </w:r>
      <w:r w:rsidRPr="00B806E2">
        <w:rPr>
          <w:vertAlign w:val="subscript"/>
        </w:rPr>
        <w:t>1</w:t>
      </w:r>
      <w:r>
        <w:t xml:space="preserve"> is twice the size of </w:t>
      </w:r>
      <w:r>
        <w:sym w:font="Symbol" w:char="F070"/>
      </w:r>
      <w:r w:rsidRPr="00B806E2">
        <w:rPr>
          <w:vertAlign w:val="subscript"/>
        </w:rPr>
        <w:t>2</w:t>
      </w:r>
      <w:r>
        <w:t xml:space="preserve">, </w:t>
      </w:r>
      <w:r>
        <w:sym w:font="Symbol" w:char="F070"/>
      </w:r>
      <w:r w:rsidRPr="00B806E2">
        <w:rPr>
          <w:vertAlign w:val="subscript"/>
        </w:rPr>
        <w:t>1</w:t>
      </w:r>
      <w:r>
        <w:t xml:space="preserve"> = 2</w:t>
      </w:r>
      <w:r>
        <w:sym w:font="Symbol" w:char="F0B4"/>
      </w:r>
      <w:r>
        <w:sym w:font="Symbol" w:char="F070"/>
      </w:r>
      <w:r w:rsidRPr="00B806E2">
        <w:rPr>
          <w:vertAlign w:val="subscript"/>
        </w:rPr>
        <w:t>2</w:t>
      </w:r>
      <w:r>
        <w:t xml:space="preserve">. </w:t>
      </w:r>
    </w:p>
    <w:p w14:paraId="2F6A7886" w14:textId="77777777" w:rsidR="00B806E2" w:rsidRDefault="00B806E2" w:rsidP="00B806E2">
      <w:pPr>
        <w:pStyle w:val="ListParagraph"/>
        <w:ind w:left="1800"/>
      </w:pPr>
    </w:p>
    <w:p w14:paraId="2AAD8EF7" w14:textId="492F1CA3" w:rsidR="00B806E2" w:rsidRDefault="00B806E2" w:rsidP="00B806E2">
      <w:pPr>
        <w:pStyle w:val="ListParagraph"/>
        <w:numPr>
          <w:ilvl w:val="0"/>
          <w:numId w:val="12"/>
        </w:numPr>
      </w:pPr>
      <w:r>
        <w:t xml:space="preserve">“1 times as likely” and “0 times more likely” is equivalent to </w:t>
      </w:r>
      <w:r>
        <w:sym w:font="Symbol" w:char="F070"/>
      </w:r>
      <w:r w:rsidRPr="00B806E2">
        <w:rPr>
          <w:vertAlign w:val="subscript"/>
        </w:rPr>
        <w:t>1</w:t>
      </w:r>
      <w:r>
        <w:t>/</w:t>
      </w:r>
      <w:r>
        <w:sym w:font="Symbol" w:char="F070"/>
      </w:r>
      <w:r w:rsidRPr="00B806E2">
        <w:rPr>
          <w:vertAlign w:val="subscript"/>
        </w:rPr>
        <w:t>2</w:t>
      </w:r>
      <w:r>
        <w:t xml:space="preserve"> = 0.5/0.5 = 1. In other words, </w:t>
      </w:r>
      <w:r>
        <w:rPr>
          <w:rFonts w:cs="Arial"/>
        </w:rPr>
        <w:sym w:font="Symbol" w:char="F070"/>
      </w:r>
      <w:proofErr w:type="gramStart"/>
      <w:r w:rsidRPr="00B806E2">
        <w:rPr>
          <w:rFonts w:cs="Arial"/>
          <w:vertAlign w:val="subscript"/>
        </w:rPr>
        <w:t>1</w:t>
      </w:r>
      <w:proofErr w:type="gramEnd"/>
      <w:r w:rsidRPr="00B806E2">
        <w:rPr>
          <w:rFonts w:cs="Arial"/>
        </w:rPr>
        <w:t xml:space="preserve"> and </w:t>
      </w:r>
      <w:r>
        <w:rPr>
          <w:rFonts w:cs="Arial"/>
        </w:rPr>
        <w:sym w:font="Symbol" w:char="F070"/>
      </w:r>
      <w:r w:rsidRPr="00B806E2">
        <w:rPr>
          <w:rFonts w:cs="Arial"/>
          <w:vertAlign w:val="subscript"/>
        </w:rPr>
        <w:t>2</w:t>
      </w:r>
      <w:r w:rsidRPr="00B806E2">
        <w:rPr>
          <w:rFonts w:cs="Arial"/>
        </w:rPr>
        <w:t xml:space="preserve"> </w:t>
      </w:r>
      <w:r>
        <w:t xml:space="preserve">are equal. </w:t>
      </w:r>
    </w:p>
    <w:p w14:paraId="77F66DA4" w14:textId="77777777" w:rsidR="00C61D97" w:rsidRDefault="00C61D97" w:rsidP="002638F4"/>
    <w:p w14:paraId="43D91BFF" w14:textId="77777777" w:rsidR="00C20C41" w:rsidRDefault="00C20C41" w:rsidP="00C20C41">
      <w:pPr>
        <w:ind w:left="720"/>
      </w:pPr>
      <w:r>
        <w:t xml:space="preserve">Other interpretations are possible depending on the context of the application. Please see the upcoming example for a specific case. </w:t>
      </w:r>
    </w:p>
    <w:p w14:paraId="7B13E35E" w14:textId="77777777" w:rsidR="00C20C41" w:rsidRDefault="00C20C41" w:rsidP="002638F4"/>
    <w:p w14:paraId="45069644" w14:textId="77777777" w:rsidR="007B1870" w:rsidRDefault="007B1870" w:rsidP="007B1870">
      <w:pPr>
        <w:ind w:left="720"/>
      </w:pPr>
      <w:r w:rsidRPr="007B1870">
        <w:rPr>
          <w:u w:val="single"/>
        </w:rPr>
        <w:t>Questions</w:t>
      </w:r>
      <w:r>
        <w:t xml:space="preserve">: </w:t>
      </w:r>
    </w:p>
    <w:p w14:paraId="08F1678B" w14:textId="77777777" w:rsidR="00BA2B2F" w:rsidRDefault="00C61D97" w:rsidP="00FF5224">
      <w:pPr>
        <w:pStyle w:val="ListParagraph"/>
        <w:numPr>
          <w:ilvl w:val="0"/>
          <w:numId w:val="10"/>
        </w:numPr>
      </w:pPr>
      <w:r>
        <w:t xml:space="preserve">What does a relative risk of 1 mean? </w:t>
      </w:r>
    </w:p>
    <w:p w14:paraId="593BF344" w14:textId="77F4E490" w:rsidR="007B1870" w:rsidRDefault="007B1870" w:rsidP="00FF5224">
      <w:pPr>
        <w:pStyle w:val="ListParagraph"/>
        <w:numPr>
          <w:ilvl w:val="0"/>
          <w:numId w:val="10"/>
        </w:numPr>
      </w:pPr>
      <w:r>
        <w:t xml:space="preserve">What is the </w:t>
      </w:r>
      <w:r w:rsidR="008D3388">
        <w:t xml:space="preserve">numerical </w:t>
      </w:r>
      <w:r>
        <w:t>range of the relative risk?</w:t>
      </w:r>
    </w:p>
    <w:p w14:paraId="6BF06A44" w14:textId="77777777" w:rsidR="00172BF4" w:rsidRDefault="00172BF4" w:rsidP="00C660D0">
      <w:pPr>
        <w:ind w:left="864"/>
      </w:pPr>
    </w:p>
    <w:p w14:paraId="3631B1EE" w14:textId="77777777" w:rsidR="002638F4" w:rsidRDefault="002638F4" w:rsidP="002638F4">
      <w:pPr>
        <w:ind w:left="720"/>
      </w:pPr>
      <w:r>
        <w:t xml:space="preserve">The MLE of RR can be found by substituting MLEs of </w:t>
      </w:r>
      <w:r>
        <w:sym w:font="Symbol" w:char="F070"/>
      </w:r>
      <w:r>
        <w:rPr>
          <w:vertAlign w:val="subscript"/>
        </w:rPr>
        <w:t>1</w:t>
      </w:r>
      <w:r>
        <w:t xml:space="preserve"> and </w:t>
      </w:r>
      <w:r>
        <w:sym w:font="Symbol" w:char="F070"/>
      </w:r>
      <w:r>
        <w:rPr>
          <w:vertAlign w:val="subscript"/>
        </w:rPr>
        <w:t>2</w:t>
      </w:r>
      <w:r>
        <w:t xml:space="preserve"> into the equation for RR:</w:t>
      </w:r>
    </w:p>
    <w:p w14:paraId="2B83CE3B" w14:textId="77777777" w:rsidR="002638F4" w:rsidRDefault="002638F4" w:rsidP="002638F4">
      <w:pPr>
        <w:ind w:left="720"/>
      </w:pPr>
    </w:p>
    <w:p w14:paraId="7A8B7968" w14:textId="77777777" w:rsidR="002638F4" w:rsidRPr="00C726A8" w:rsidRDefault="002638F4" w:rsidP="002638F4">
      <w:pPr>
        <w:ind w:left="1440"/>
      </w:pPr>
      <w:r w:rsidRPr="002A0215">
        <w:rPr>
          <w:position w:val="-40"/>
        </w:rPr>
        <w:object w:dxaOrig="4420" w:dyaOrig="1020" w14:anchorId="0E50C253">
          <v:shape id="_x0000_i1026" type="#_x0000_t75" style="width:221.6pt;height:53.6pt" o:ole="">
            <v:imagedata r:id="rId10" o:title=""/>
          </v:shape>
          <o:OLEObject Type="Embed" ProgID="Equation.DSMT4" ShapeID="_x0000_i1026" DrawAspect="Content" ObjectID="_1737540484" r:id="rId11"/>
        </w:object>
      </w:r>
    </w:p>
    <w:p w14:paraId="53BD9207" w14:textId="77777777" w:rsidR="002638F4" w:rsidRDefault="002638F4" w:rsidP="002638F4">
      <w:pPr>
        <w:ind w:left="720"/>
      </w:pPr>
    </w:p>
    <w:p w14:paraId="2A97EB23" w14:textId="7DC3111C" w:rsidR="00E36F0F" w:rsidRDefault="00B26960" w:rsidP="00E36F0F">
      <w:pPr>
        <w:ind w:left="720"/>
      </w:pPr>
      <w:r>
        <w:t xml:space="preserve">As with other maximum likelihood estimators, we could use a normal approximation with the statistic here and form a Wald confidence interval. However, the large sample normal approximation can be improved upon by working with the </w:t>
      </w:r>
      <w:r w:rsidR="00216972">
        <w:t xml:space="preserve">natural </w:t>
      </w:r>
      <w:r>
        <w:t xml:space="preserve">log transformation of the relative risk first. Thus, </w:t>
      </w:r>
      <w:r w:rsidR="00E36F0F">
        <w:t>a Wald confidence interval for</w:t>
      </w:r>
      <w:r w:rsidR="0087304C">
        <w:t xml:space="preserve"> </w:t>
      </w:r>
      <w:r w:rsidR="00E36F0F" w:rsidRPr="00E36F0F">
        <w:rPr>
          <w:position w:val="-14"/>
        </w:rPr>
        <w:object w:dxaOrig="1420" w:dyaOrig="480" w14:anchorId="4B3BAEC9">
          <v:shape id="_x0000_i1027" type="#_x0000_t75" style="width:70.4pt;height:24pt" o:ole="">
            <v:imagedata r:id="rId12" o:title=""/>
          </v:shape>
          <o:OLEObject Type="Embed" ProgID="Equation.DSMT4" ShapeID="_x0000_i1027" DrawAspect="Content" ObjectID="_1737540485" r:id="rId13"/>
        </w:object>
      </w:r>
      <w:r w:rsidR="00E36F0F">
        <w:t xml:space="preserve"> is </w:t>
      </w:r>
    </w:p>
    <w:p w14:paraId="21247A54" w14:textId="77777777" w:rsidR="00B26960" w:rsidRDefault="00B26960" w:rsidP="00B26960">
      <w:pPr>
        <w:ind w:left="720"/>
      </w:pPr>
    </w:p>
    <w:p w14:paraId="0F75AF7A" w14:textId="77777777" w:rsidR="002638F4" w:rsidRDefault="00B26960" w:rsidP="00E36F0F">
      <w:pPr>
        <w:ind w:left="1440"/>
      </w:pPr>
      <w:r>
        <w:lastRenderedPageBreak/>
        <w:t xml:space="preserve"> </w:t>
      </w:r>
      <w:r w:rsidR="00E36F0F" w:rsidRPr="00E36F0F">
        <w:rPr>
          <w:position w:val="-18"/>
        </w:rPr>
        <w:object w:dxaOrig="6580" w:dyaOrig="740" w14:anchorId="4BAD3D8B">
          <v:shape id="_x0000_i1028" type="#_x0000_t75" style="width:329.6pt;height:38.4pt" o:ole="">
            <v:imagedata r:id="rId14" o:title=""/>
          </v:shape>
          <o:OLEObject Type="Embed" ProgID="Equation.DSMT4" ShapeID="_x0000_i1028" DrawAspect="Content" ObjectID="_1737540486" r:id="rId15"/>
        </w:object>
      </w:r>
    </w:p>
    <w:p w14:paraId="30D98F52" w14:textId="77777777" w:rsidR="002638F4" w:rsidRDefault="002638F4" w:rsidP="00C660D0">
      <w:pPr>
        <w:ind w:left="864"/>
      </w:pPr>
    </w:p>
    <w:p w14:paraId="255C18E1" w14:textId="77777777" w:rsidR="00636404" w:rsidRDefault="00E36F0F" w:rsidP="004F00E0">
      <w:pPr>
        <w:ind w:left="720"/>
      </w:pPr>
      <w:proofErr w:type="gramStart"/>
      <w:r>
        <w:t>where</w:t>
      </w:r>
      <w:proofErr w:type="gramEnd"/>
      <w:r>
        <w:t xml:space="preserve"> </w:t>
      </w:r>
    </w:p>
    <w:p w14:paraId="59332C47" w14:textId="77777777" w:rsidR="00636404" w:rsidRDefault="00636404" w:rsidP="00E36F0F">
      <w:pPr>
        <w:ind w:left="864"/>
      </w:pPr>
    </w:p>
    <w:p w14:paraId="1B369702" w14:textId="3988D56A" w:rsidR="00636404" w:rsidRDefault="00216972" w:rsidP="00636404">
      <w:pPr>
        <w:ind w:left="1440"/>
      </w:pPr>
      <w:r w:rsidRPr="00216972">
        <w:rPr>
          <w:position w:val="-46"/>
        </w:rPr>
        <w:object w:dxaOrig="6480" w:dyaOrig="1060" w14:anchorId="501EE63F">
          <v:shape id="_x0000_i1029" type="#_x0000_t75" style="width:322.4pt;height:53.6pt" o:ole="">
            <v:imagedata r:id="rId16" o:title=""/>
          </v:shape>
          <o:OLEObject Type="Embed" ProgID="Equation.DSMT4" ShapeID="_x0000_i1029" DrawAspect="Content" ObjectID="_1737540487" r:id="rId17"/>
        </w:object>
      </w:r>
      <w:r w:rsidR="00E36F0F">
        <w:t xml:space="preserve"> </w:t>
      </w:r>
    </w:p>
    <w:p w14:paraId="184BDAD5" w14:textId="77777777" w:rsidR="00636404" w:rsidRDefault="00636404" w:rsidP="00E36F0F">
      <w:pPr>
        <w:ind w:left="864"/>
      </w:pPr>
    </w:p>
    <w:p w14:paraId="3116CC36" w14:textId="77777777" w:rsidR="00E36F0F" w:rsidRDefault="00E36F0F" w:rsidP="004F00E0">
      <w:pPr>
        <w:ind w:left="720"/>
      </w:pPr>
      <w:r>
        <w:t xml:space="preserve">is derived through using a delta method approximation (see Appendix B). </w:t>
      </w:r>
    </w:p>
    <w:p w14:paraId="52A4FB3F" w14:textId="77777777" w:rsidR="00E36F0F" w:rsidRDefault="00E36F0F" w:rsidP="00E36F0F">
      <w:pPr>
        <w:ind w:left="864"/>
      </w:pPr>
    </w:p>
    <w:p w14:paraId="1E47929B" w14:textId="22F1162D" w:rsidR="00E36F0F" w:rsidRDefault="00E36F0F" w:rsidP="00E36F0F">
      <w:pPr>
        <w:ind w:left="720"/>
      </w:pPr>
      <w:r>
        <w:t xml:space="preserve">Of course, we are still interested in RR itself, so we can apply the exponential function to find the Wald confidence interval for RR: </w:t>
      </w:r>
    </w:p>
    <w:p w14:paraId="3ACFFB4E" w14:textId="77777777" w:rsidR="00E36F0F" w:rsidRDefault="00E36F0F" w:rsidP="00E36F0F">
      <w:pPr>
        <w:ind w:left="720"/>
      </w:pPr>
    </w:p>
    <w:p w14:paraId="57E8C59D" w14:textId="77777777" w:rsidR="00E36F0F" w:rsidRDefault="00E36F0F" w:rsidP="00E36F0F">
      <w:pPr>
        <w:ind w:left="1440"/>
      </w:pPr>
      <w:r w:rsidRPr="00E36F0F">
        <w:rPr>
          <w:position w:val="-38"/>
        </w:rPr>
        <w:object w:dxaOrig="7620" w:dyaOrig="960" w14:anchorId="4C73D62E">
          <v:shape id="_x0000_i1030" type="#_x0000_t75" style="width:379.2pt;height:48pt" o:ole="">
            <v:imagedata r:id="rId18" o:title=""/>
          </v:shape>
          <o:OLEObject Type="Embed" ProgID="Equation.DSMT4" ShapeID="_x0000_i1030" DrawAspect="Content" ObjectID="_1737540488" r:id="rId19"/>
        </w:object>
      </w:r>
      <w:r>
        <w:t xml:space="preserve"> </w:t>
      </w:r>
    </w:p>
    <w:p w14:paraId="17F1EF8E" w14:textId="77777777" w:rsidR="009D6F52" w:rsidRDefault="009D6F52" w:rsidP="00172BF4"/>
    <w:p w14:paraId="377FD40F" w14:textId="5FF56F8F" w:rsidR="0031530E" w:rsidRPr="0031530E" w:rsidRDefault="0031530E" w:rsidP="0031530E">
      <w:pPr>
        <w:ind w:left="720"/>
      </w:pPr>
      <w:r>
        <w:t>What if w</w:t>
      </w:r>
      <w:r>
        <w:rPr>
          <w:vertAlign w:val="subscript"/>
        </w:rPr>
        <w:t>1</w:t>
      </w:r>
      <w:r>
        <w:t xml:space="preserve"> or w</w:t>
      </w:r>
      <w:r>
        <w:rPr>
          <w:vertAlign w:val="subscript"/>
        </w:rPr>
        <w:t>2</w:t>
      </w:r>
      <w:r>
        <w:t xml:space="preserve"> is equal to 0? You will have difficulty calculating the variance </w:t>
      </w:r>
      <w:r w:rsidR="00E3756A">
        <w:t xml:space="preserve">used </w:t>
      </w:r>
      <w:r>
        <w:t xml:space="preserve">in the interval! An ad-hoc solution is to add a small constant, </w:t>
      </w:r>
      <w:r w:rsidR="005E1EF4">
        <w:t xml:space="preserve">either to </w:t>
      </w:r>
      <w:proofErr w:type="spellStart"/>
      <w:r>
        <w:t>w</w:t>
      </w:r>
      <w:r>
        <w:rPr>
          <w:vertAlign w:val="subscript"/>
        </w:rPr>
        <w:t>j</w:t>
      </w:r>
      <w:proofErr w:type="spellEnd"/>
      <w:r>
        <w:t xml:space="preserve"> and its corresponding </w:t>
      </w:r>
      <w:proofErr w:type="spellStart"/>
      <w:r>
        <w:t>n</w:t>
      </w:r>
      <w:r>
        <w:rPr>
          <w:vertAlign w:val="subscript"/>
        </w:rPr>
        <w:t>j</w:t>
      </w:r>
      <w:proofErr w:type="spellEnd"/>
      <w:r w:rsidR="005E1EF4">
        <w:t xml:space="preserve"> count or to all cells of the contingency table even if some are not 0. </w:t>
      </w:r>
    </w:p>
    <w:p w14:paraId="3DF70324" w14:textId="3300C996" w:rsidR="0031530E" w:rsidRDefault="0031530E" w:rsidP="00172BF4"/>
    <w:p w14:paraId="4042568F" w14:textId="77777777" w:rsidR="00216972" w:rsidRDefault="00216972" w:rsidP="00172BF4"/>
    <w:p w14:paraId="7C6876C5" w14:textId="77777777" w:rsidR="003F6585" w:rsidRDefault="003F6585">
      <w:pPr>
        <w:jc w:val="left"/>
        <w:rPr>
          <w:u w:val="single"/>
        </w:rPr>
      </w:pPr>
      <w:r>
        <w:rPr>
          <w:u w:val="single"/>
        </w:rPr>
        <w:br w:type="page"/>
      </w:r>
    </w:p>
    <w:p w14:paraId="415A8B1E" w14:textId="511A6383" w:rsidR="00E62CFF" w:rsidRDefault="00E62CFF" w:rsidP="00E62CFF">
      <w:r w:rsidRPr="00AA64A4">
        <w:rPr>
          <w:u w:val="single"/>
        </w:rPr>
        <w:lastRenderedPageBreak/>
        <w:t>Example</w:t>
      </w:r>
      <w:r>
        <w:t>:</w:t>
      </w:r>
      <w:r w:rsidRPr="00216972">
        <w:rPr>
          <w:sz w:val="20"/>
          <w:szCs w:val="20"/>
        </w:rPr>
        <w:t xml:space="preserve"> </w:t>
      </w:r>
      <w:r>
        <w:t xml:space="preserve">COVID-19 </w:t>
      </w:r>
      <w:r w:rsidR="00216972">
        <w:t>vaccine clinical trial</w:t>
      </w:r>
      <w:r w:rsidRPr="00216972">
        <w:rPr>
          <w:sz w:val="20"/>
          <w:szCs w:val="20"/>
        </w:rPr>
        <w:t xml:space="preserve"> </w:t>
      </w:r>
      <w:r>
        <w:t>(COVID19vaccine.R)</w:t>
      </w:r>
    </w:p>
    <w:p w14:paraId="4997D7E3" w14:textId="77777777" w:rsidR="00E62CFF" w:rsidRDefault="00E62CFF" w:rsidP="00E62CFF"/>
    <w:tbl>
      <w:tblPr>
        <w:tblW w:w="5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435"/>
        <w:gridCol w:w="1613"/>
        <w:gridCol w:w="1258"/>
      </w:tblGrid>
      <w:tr w:rsidR="00E62CFF" w14:paraId="78978CC1" w14:textId="77777777" w:rsidTr="00E62C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A0FBAB3" w14:textId="77777777" w:rsidR="00E62CFF" w:rsidRDefault="00E62CFF" w:rsidP="005303F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87A29BC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Positive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1A000CB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24B2A02" w14:textId="77777777" w:rsidR="00E62CFF" w:rsidRDefault="00E62CFF" w:rsidP="005303F6">
            <w:pPr>
              <w:rPr>
                <w:color w:val="000000"/>
                <w:szCs w:val="24"/>
              </w:rPr>
            </w:pPr>
          </w:p>
        </w:tc>
      </w:tr>
      <w:tr w:rsidR="00E62CFF" w14:paraId="321CCB42" w14:textId="77777777" w:rsidTr="00E62CF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8FFB5E2" w14:textId="77777777" w:rsidR="00E62CFF" w:rsidRDefault="00E62CFF" w:rsidP="005303F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Vaccine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F17CFD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54C03E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5FC531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17,411</w:t>
            </w:r>
          </w:p>
        </w:tc>
      </w:tr>
      <w:tr w:rsidR="00E62CFF" w14:paraId="5654A513" w14:textId="77777777" w:rsidTr="00E62CF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5AE7061" w14:textId="77777777" w:rsidR="00E62CFF" w:rsidRDefault="00E62CFF" w:rsidP="005303F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1A0510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41301F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DFF207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17,511</w:t>
            </w:r>
          </w:p>
        </w:tc>
      </w:tr>
      <w:tr w:rsidR="00E62CFF" w14:paraId="20A1C7D0" w14:textId="77777777" w:rsidTr="00E62C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84D9C07" w14:textId="77777777" w:rsidR="00E62CFF" w:rsidRDefault="00E62CFF" w:rsidP="005303F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4676F05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1AC851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183996D" w14:textId="77777777" w:rsidR="00E62CFF" w:rsidRDefault="00E62CFF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34,922</w:t>
            </w:r>
          </w:p>
        </w:tc>
      </w:tr>
    </w:tbl>
    <w:p w14:paraId="797B2889" w14:textId="77777777" w:rsidR="00E62CFF" w:rsidRDefault="00E62CFF" w:rsidP="00E62CFF"/>
    <w:p w14:paraId="5315B75A" w14:textId="74D9B2DC" w:rsidR="00E060C9" w:rsidRDefault="00E060C9" w:rsidP="00E060C9">
      <w:pPr>
        <w:pStyle w:val="R14"/>
      </w:pPr>
      <w:r>
        <w:t xml:space="preserve">&gt; </w:t>
      </w:r>
      <w:proofErr w:type="spellStart"/>
      <w:r>
        <w:t>c.table</w:t>
      </w:r>
      <w:proofErr w:type="spellEnd"/>
      <w:r>
        <w:t xml:space="preserve"> &lt;- </w:t>
      </w:r>
      <w:proofErr w:type="gramStart"/>
      <w:r>
        <w:t>array(</w:t>
      </w:r>
      <w:proofErr w:type="gramEnd"/>
      <w:r>
        <w:t xml:space="preserve">data = c(8, 162, 17403, 17349), dim = c(2,2), </w:t>
      </w:r>
      <w:proofErr w:type="spellStart"/>
      <w:r>
        <w:t>dimnames</w:t>
      </w:r>
      <w:proofErr w:type="spellEnd"/>
      <w:r>
        <w:t xml:space="preserve"> = list(Treatment = c("Vaccine", "Placebo"), Outcome = c("Positive", "Negative")))</w:t>
      </w:r>
    </w:p>
    <w:p w14:paraId="2C2DA8F5" w14:textId="77777777" w:rsidR="00E060C9" w:rsidRDefault="00E060C9" w:rsidP="00E060C9">
      <w:pPr>
        <w:pStyle w:val="R14"/>
      </w:pPr>
      <w:r>
        <w:t xml:space="preserve">&gt; </w:t>
      </w:r>
      <w:proofErr w:type="spellStart"/>
      <w:r>
        <w:t>c.table</w:t>
      </w:r>
      <w:proofErr w:type="spellEnd"/>
    </w:p>
    <w:p w14:paraId="6EB78583" w14:textId="77777777" w:rsidR="00E060C9" w:rsidRDefault="00E060C9" w:rsidP="00E060C9">
      <w:pPr>
        <w:pStyle w:val="R14"/>
      </w:pPr>
      <w:r>
        <w:t xml:space="preserve">         Outcome</w:t>
      </w:r>
    </w:p>
    <w:p w14:paraId="1189E083" w14:textId="77777777" w:rsidR="00E060C9" w:rsidRDefault="00E060C9" w:rsidP="00E060C9">
      <w:pPr>
        <w:pStyle w:val="R14"/>
      </w:pPr>
      <w:r>
        <w:t>Treatment Positive Negative</w:t>
      </w:r>
    </w:p>
    <w:p w14:paraId="7176C70C" w14:textId="77777777" w:rsidR="00E060C9" w:rsidRDefault="00E060C9" w:rsidP="00E060C9">
      <w:pPr>
        <w:pStyle w:val="R14"/>
      </w:pPr>
      <w:r>
        <w:t xml:space="preserve">  Vaccine        8    17403</w:t>
      </w:r>
    </w:p>
    <w:p w14:paraId="557EE22D" w14:textId="77777777" w:rsidR="00E060C9" w:rsidRDefault="00E060C9" w:rsidP="00E060C9">
      <w:pPr>
        <w:pStyle w:val="R14"/>
      </w:pPr>
      <w:r>
        <w:t xml:space="preserve">  Placebo      162    17349</w:t>
      </w:r>
    </w:p>
    <w:p w14:paraId="155D5165" w14:textId="77777777" w:rsidR="00E060C9" w:rsidRDefault="00E060C9" w:rsidP="00E060C9">
      <w:pPr>
        <w:pStyle w:val="R14"/>
      </w:pPr>
    </w:p>
    <w:p w14:paraId="71891484" w14:textId="77777777" w:rsidR="00E62CFF" w:rsidRDefault="00E62CFF" w:rsidP="00E62CFF">
      <w:pPr>
        <w:pStyle w:val="R14"/>
      </w:pPr>
      <w:r>
        <w:t xml:space="preserve">&gt; </w:t>
      </w:r>
      <w:proofErr w:type="spellStart"/>
      <w:r>
        <w:t>pi.hat.table</w:t>
      </w:r>
      <w:proofErr w:type="spellEnd"/>
      <w:r>
        <w:t xml:space="preserve"> &lt;- </w:t>
      </w:r>
      <w:proofErr w:type="spellStart"/>
      <w:r>
        <w:t>c.table</w:t>
      </w:r>
      <w:proofErr w:type="spellEnd"/>
      <w:r>
        <w:t>/</w:t>
      </w:r>
      <w:proofErr w:type="spellStart"/>
      <w:proofErr w:type="gramStart"/>
      <w:r>
        <w:t>rowSums</w:t>
      </w:r>
      <w:proofErr w:type="spellEnd"/>
      <w:r>
        <w:t>(</w:t>
      </w:r>
      <w:proofErr w:type="spellStart"/>
      <w:proofErr w:type="gramEnd"/>
      <w:r>
        <w:t>c.table</w:t>
      </w:r>
      <w:proofErr w:type="spellEnd"/>
      <w:r>
        <w:t>)</w:t>
      </w:r>
    </w:p>
    <w:p w14:paraId="13B1FEAA" w14:textId="77777777" w:rsidR="00E62CFF" w:rsidRDefault="00E62CFF" w:rsidP="00E62CFF">
      <w:pPr>
        <w:pStyle w:val="R14"/>
      </w:pPr>
      <w:r>
        <w:t xml:space="preserve">&gt; </w:t>
      </w:r>
      <w:proofErr w:type="spellStart"/>
      <w:r>
        <w:t>pi.hat.table</w:t>
      </w:r>
      <w:proofErr w:type="spellEnd"/>
    </w:p>
    <w:p w14:paraId="2E83788E" w14:textId="77777777" w:rsidR="00E62CFF" w:rsidRDefault="00E62CFF" w:rsidP="00E62CFF">
      <w:pPr>
        <w:pStyle w:val="R14"/>
      </w:pPr>
      <w:r>
        <w:t xml:space="preserve">         Outcome</w:t>
      </w:r>
    </w:p>
    <w:p w14:paraId="04B4AD4A" w14:textId="77777777" w:rsidR="00E62CFF" w:rsidRDefault="00E62CFF" w:rsidP="00E62CFF">
      <w:pPr>
        <w:pStyle w:val="R14"/>
      </w:pPr>
      <w:r>
        <w:t xml:space="preserve">Treatment     </w:t>
      </w:r>
      <w:proofErr w:type="gramStart"/>
      <w:r>
        <w:t>Positive  Negative</w:t>
      </w:r>
      <w:proofErr w:type="gramEnd"/>
    </w:p>
    <w:p w14:paraId="2268B139" w14:textId="77777777" w:rsidR="00E62CFF" w:rsidRDefault="00E62CFF" w:rsidP="00E62CFF">
      <w:pPr>
        <w:pStyle w:val="R14"/>
      </w:pPr>
      <w:r>
        <w:t xml:space="preserve">  Vaccine 0.0004594796 0.9995405</w:t>
      </w:r>
    </w:p>
    <w:p w14:paraId="25639A2C" w14:textId="77777777" w:rsidR="00E62CFF" w:rsidRDefault="00E62CFF" w:rsidP="00E62CFF">
      <w:pPr>
        <w:pStyle w:val="R14"/>
      </w:pPr>
      <w:r>
        <w:t xml:space="preserve">  Placebo 0.0092513277 0.9907487</w:t>
      </w:r>
    </w:p>
    <w:p w14:paraId="77DE7F4C" w14:textId="77777777" w:rsidR="00E62CFF" w:rsidRDefault="00E62CFF" w:rsidP="00BA2B2F">
      <w:pPr>
        <w:pStyle w:val="R14"/>
      </w:pPr>
    </w:p>
    <w:p w14:paraId="327B3013" w14:textId="75C478E7" w:rsidR="0031530E" w:rsidRPr="0031530E" w:rsidRDefault="0031530E" w:rsidP="00BA2B2F">
      <w:pPr>
        <w:pStyle w:val="R14"/>
      </w:pPr>
      <w:r w:rsidRPr="0031530E">
        <w:t>&gt; pi.hat1</w:t>
      </w:r>
      <w:r w:rsidR="00596A70">
        <w:t xml:space="preserve"> </w:t>
      </w:r>
      <w:r w:rsidRPr="0031530E">
        <w:t>&lt;-</w:t>
      </w:r>
      <w:r w:rsidR="00596A70">
        <w:t xml:space="preserve"> </w:t>
      </w:r>
      <w:proofErr w:type="spellStart"/>
      <w:proofErr w:type="gramStart"/>
      <w:r w:rsidRPr="0031530E">
        <w:t>pi.hat.table</w:t>
      </w:r>
      <w:proofErr w:type="spellEnd"/>
      <w:r w:rsidRPr="0031530E">
        <w:t>[</w:t>
      </w:r>
      <w:proofErr w:type="gramEnd"/>
      <w:r w:rsidRPr="0031530E">
        <w:t xml:space="preserve">1,1] </w:t>
      </w:r>
    </w:p>
    <w:p w14:paraId="3AF025D0" w14:textId="02411D1A" w:rsidR="0031530E" w:rsidRPr="0031530E" w:rsidRDefault="0031530E" w:rsidP="00BA2B2F">
      <w:pPr>
        <w:pStyle w:val="R14"/>
      </w:pPr>
      <w:r w:rsidRPr="0031530E">
        <w:t>&gt; pi.hat2</w:t>
      </w:r>
      <w:r w:rsidR="00596A70">
        <w:t xml:space="preserve"> </w:t>
      </w:r>
      <w:r w:rsidRPr="0031530E">
        <w:t>&lt;-</w:t>
      </w:r>
      <w:r w:rsidR="00596A70">
        <w:t xml:space="preserve"> </w:t>
      </w:r>
      <w:proofErr w:type="spellStart"/>
      <w:proofErr w:type="gramStart"/>
      <w:r w:rsidRPr="0031530E">
        <w:t>pi.hat.table</w:t>
      </w:r>
      <w:proofErr w:type="spellEnd"/>
      <w:r w:rsidRPr="0031530E">
        <w:t>[</w:t>
      </w:r>
      <w:proofErr w:type="gramEnd"/>
      <w:r w:rsidRPr="0031530E">
        <w:t>2,1]</w:t>
      </w:r>
    </w:p>
    <w:p w14:paraId="29E77F65" w14:textId="77777777" w:rsidR="0031530E" w:rsidRPr="0031530E" w:rsidRDefault="0031530E" w:rsidP="00BA2B2F">
      <w:pPr>
        <w:pStyle w:val="R14"/>
      </w:pPr>
    </w:p>
    <w:p w14:paraId="7E32FBEE" w14:textId="6D682AC7" w:rsidR="00E62CFF" w:rsidRDefault="00E62CFF" w:rsidP="00E62CFF">
      <w:pPr>
        <w:pStyle w:val="R14"/>
      </w:pPr>
      <w:r>
        <w:t xml:space="preserve">&gt; </w:t>
      </w:r>
      <w:proofErr w:type="gramStart"/>
      <w:r>
        <w:t>round(</w:t>
      </w:r>
      <w:proofErr w:type="gramEnd"/>
      <w:r>
        <w:t>pi.hat1/pi.hat2, 4)</w:t>
      </w:r>
    </w:p>
    <w:p w14:paraId="04F7DDCA" w14:textId="77777777" w:rsidR="00E62CFF" w:rsidRDefault="00E62CFF" w:rsidP="00E62CFF">
      <w:pPr>
        <w:pStyle w:val="R14"/>
      </w:pPr>
      <w:r>
        <w:t>[1] 0.0497</w:t>
      </w:r>
    </w:p>
    <w:p w14:paraId="211D7515" w14:textId="64672D95" w:rsidR="00E62CFF" w:rsidRDefault="00E62CFF" w:rsidP="00E62CFF">
      <w:pPr>
        <w:pStyle w:val="R14"/>
      </w:pPr>
      <w:r>
        <w:t>&gt; round(1/(pi.hat1/pi.hat2), 4) # inverted</w:t>
      </w:r>
    </w:p>
    <w:p w14:paraId="3AB45E11" w14:textId="02215ADC" w:rsidR="0031530E" w:rsidRPr="0031530E" w:rsidRDefault="00E62CFF" w:rsidP="00E62CFF">
      <w:pPr>
        <w:pStyle w:val="R14"/>
      </w:pPr>
      <w:r>
        <w:t>[1] 20.1344</w:t>
      </w:r>
    </w:p>
    <w:p w14:paraId="34899335" w14:textId="77777777" w:rsidR="0031530E" w:rsidRPr="0031530E" w:rsidRDefault="0031530E" w:rsidP="00BA2B2F">
      <w:pPr>
        <w:pStyle w:val="R14"/>
      </w:pPr>
      <w:r w:rsidRPr="0031530E">
        <w:t xml:space="preserve"> </w:t>
      </w:r>
    </w:p>
    <w:p w14:paraId="1CE13AB6" w14:textId="5C5ADE90" w:rsidR="0031530E" w:rsidRPr="0031530E" w:rsidRDefault="0031530E" w:rsidP="00BA2B2F">
      <w:pPr>
        <w:pStyle w:val="R14"/>
      </w:pPr>
      <w:r w:rsidRPr="0031530E">
        <w:t>&gt; alpha</w:t>
      </w:r>
      <w:r w:rsidR="00596A70">
        <w:t xml:space="preserve"> </w:t>
      </w:r>
      <w:r w:rsidRPr="0031530E">
        <w:t xml:space="preserve">&lt;-0.05 </w:t>
      </w:r>
    </w:p>
    <w:p w14:paraId="07962586" w14:textId="41F54E95" w:rsidR="0031530E" w:rsidRPr="0031530E" w:rsidRDefault="0031530E" w:rsidP="00BA2B2F">
      <w:pPr>
        <w:pStyle w:val="R14"/>
      </w:pPr>
      <w:r w:rsidRPr="0031530E">
        <w:t>&gt; n1</w:t>
      </w:r>
      <w:r w:rsidR="00596A70">
        <w:t xml:space="preserve"> </w:t>
      </w:r>
      <w:r w:rsidRPr="0031530E">
        <w:t>&lt;-</w:t>
      </w:r>
      <w:r w:rsidR="00596A70">
        <w:t xml:space="preserve"> </w:t>
      </w:r>
      <w:proofErr w:type="gramStart"/>
      <w:r w:rsidRPr="0031530E">
        <w:t>sum(</w:t>
      </w:r>
      <w:proofErr w:type="spellStart"/>
      <w:proofErr w:type="gramEnd"/>
      <w:r w:rsidRPr="0031530E">
        <w:t>c.table</w:t>
      </w:r>
      <w:proofErr w:type="spellEnd"/>
      <w:r w:rsidRPr="0031530E">
        <w:t xml:space="preserve">[1,]) </w:t>
      </w:r>
    </w:p>
    <w:p w14:paraId="262A2B25" w14:textId="57B6DB3E" w:rsidR="0031530E" w:rsidRPr="0031530E" w:rsidRDefault="0031530E" w:rsidP="00BA2B2F">
      <w:pPr>
        <w:pStyle w:val="R14"/>
      </w:pPr>
      <w:r w:rsidRPr="0031530E">
        <w:t>&gt; n2</w:t>
      </w:r>
      <w:r w:rsidR="00596A70">
        <w:t xml:space="preserve"> </w:t>
      </w:r>
      <w:r w:rsidRPr="0031530E">
        <w:t>&lt;-</w:t>
      </w:r>
      <w:r w:rsidR="00596A70">
        <w:t xml:space="preserve"> </w:t>
      </w:r>
      <w:proofErr w:type="gramStart"/>
      <w:r w:rsidRPr="0031530E">
        <w:t>sum(</w:t>
      </w:r>
      <w:proofErr w:type="spellStart"/>
      <w:proofErr w:type="gramEnd"/>
      <w:r w:rsidRPr="0031530E">
        <w:t>c.table</w:t>
      </w:r>
      <w:proofErr w:type="spellEnd"/>
      <w:r w:rsidRPr="0031530E">
        <w:t xml:space="preserve">[2,]) </w:t>
      </w:r>
    </w:p>
    <w:p w14:paraId="3AC5FD63" w14:textId="77777777" w:rsidR="0031530E" w:rsidRPr="0031530E" w:rsidRDefault="0031530E" w:rsidP="00BA2B2F">
      <w:pPr>
        <w:pStyle w:val="R14"/>
      </w:pPr>
      <w:r w:rsidRPr="0031530E">
        <w:t xml:space="preserve">  </w:t>
      </w:r>
    </w:p>
    <w:p w14:paraId="6D366DE4" w14:textId="119EC8B2" w:rsidR="00E62CFF" w:rsidRDefault="00E62CFF" w:rsidP="00E62CFF">
      <w:pPr>
        <w:pStyle w:val="R14"/>
      </w:pPr>
      <w:r>
        <w:t>&gt; # Wald confidence interval</w:t>
      </w:r>
    </w:p>
    <w:p w14:paraId="5C22BFC2" w14:textId="77711792" w:rsidR="00E62CFF" w:rsidRDefault="00E62CFF" w:rsidP="00E62CFF">
      <w:pPr>
        <w:pStyle w:val="R14"/>
      </w:pPr>
      <w:r>
        <w:t xml:space="preserve">&gt; </w:t>
      </w:r>
      <w:proofErr w:type="spellStart"/>
      <w:r>
        <w:t>var.log.RR</w:t>
      </w:r>
      <w:proofErr w:type="spellEnd"/>
      <w:r>
        <w:t xml:space="preserve"> &lt;- 1/</w:t>
      </w:r>
      <w:proofErr w:type="spellStart"/>
      <w:proofErr w:type="gramStart"/>
      <w:r>
        <w:t>c.table</w:t>
      </w:r>
      <w:proofErr w:type="spellEnd"/>
      <w:r>
        <w:t>[</w:t>
      </w:r>
      <w:proofErr w:type="gramEnd"/>
      <w:r>
        <w:t>1,1] - 1/sum(</w:t>
      </w:r>
      <w:proofErr w:type="spellStart"/>
      <w:r>
        <w:t>c.table</w:t>
      </w:r>
      <w:proofErr w:type="spellEnd"/>
      <w:r>
        <w:t>[1,]) + 1/</w:t>
      </w:r>
      <w:proofErr w:type="spellStart"/>
      <w:r>
        <w:t>c.table</w:t>
      </w:r>
      <w:proofErr w:type="spellEnd"/>
      <w:r>
        <w:t>[2,1] - 1/sum(</w:t>
      </w:r>
      <w:proofErr w:type="spellStart"/>
      <w:r>
        <w:t>c.table</w:t>
      </w:r>
      <w:proofErr w:type="spellEnd"/>
      <w:r>
        <w:t>[2,])</w:t>
      </w:r>
    </w:p>
    <w:p w14:paraId="5F2847FA" w14:textId="6DD9B992" w:rsidR="00E62CFF" w:rsidRDefault="00E62CFF" w:rsidP="00E62CFF">
      <w:pPr>
        <w:pStyle w:val="R14"/>
      </w:pPr>
      <w:r>
        <w:t xml:space="preserve">&gt; RR.ci &lt;- 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 xml:space="preserve">log(pi.hat1/pi.hat2) + </w:t>
      </w:r>
      <w:proofErr w:type="spellStart"/>
      <w:r>
        <w:t>qnorm</w:t>
      </w:r>
      <w:proofErr w:type="spellEnd"/>
      <w:r>
        <w:t xml:space="preserve">(p = c(alpha/2, 1-alpha/2)) * </w:t>
      </w:r>
      <w:proofErr w:type="spellStart"/>
      <w:r>
        <w:t>sqrt</w:t>
      </w:r>
      <w:proofErr w:type="spellEnd"/>
      <w:r>
        <w:t>(</w:t>
      </w:r>
      <w:proofErr w:type="spellStart"/>
      <w:r>
        <w:t>var.log.RR</w:t>
      </w:r>
      <w:proofErr w:type="spellEnd"/>
      <w:r>
        <w:t>))</w:t>
      </w:r>
    </w:p>
    <w:p w14:paraId="656E197B" w14:textId="142F9227" w:rsidR="00E62CFF" w:rsidRDefault="00E62CFF" w:rsidP="00E62CFF">
      <w:pPr>
        <w:pStyle w:val="R14"/>
      </w:pPr>
      <w:r>
        <w:lastRenderedPageBreak/>
        <w:t xml:space="preserve">&gt; </w:t>
      </w:r>
      <w:proofErr w:type="gramStart"/>
      <w:r>
        <w:t>round(</w:t>
      </w:r>
      <w:proofErr w:type="gramEnd"/>
      <w:r>
        <w:t>RR.ci, 4)</w:t>
      </w:r>
    </w:p>
    <w:p w14:paraId="4BD46A09" w14:textId="77777777" w:rsidR="00E62CFF" w:rsidRDefault="00E62CFF" w:rsidP="00E62CFF">
      <w:pPr>
        <w:pStyle w:val="R14"/>
      </w:pPr>
      <w:r>
        <w:t>[1] 0.0244 0.1010</w:t>
      </w:r>
    </w:p>
    <w:p w14:paraId="7D86FCD2" w14:textId="289FEE2E" w:rsidR="00E62CFF" w:rsidRDefault="00E62CFF" w:rsidP="00E62CFF">
      <w:pPr>
        <w:pStyle w:val="R14"/>
      </w:pPr>
      <w:r>
        <w:t xml:space="preserve">&gt; </w:t>
      </w:r>
      <w:proofErr w:type="gramStart"/>
      <w:r>
        <w:t>rev(</w:t>
      </w:r>
      <w:proofErr w:type="gramEnd"/>
      <w:r>
        <w:t>round(1/RR.ci, 4))  # inverted</w:t>
      </w:r>
    </w:p>
    <w:p w14:paraId="714A3D24" w14:textId="3E9E1114" w:rsidR="00A82C77" w:rsidRDefault="00E62CFF" w:rsidP="00E62CFF">
      <w:pPr>
        <w:pStyle w:val="R14"/>
      </w:pPr>
      <w:r>
        <w:t>[1</w:t>
      </w:r>
      <w:proofErr w:type="gramStart"/>
      <w:r>
        <w:t>]  9.9034</w:t>
      </w:r>
      <w:proofErr w:type="gramEnd"/>
      <w:r>
        <w:t xml:space="preserve"> 40.9345</w:t>
      </w:r>
    </w:p>
    <w:p w14:paraId="48187CE6" w14:textId="77777777" w:rsidR="0031530E" w:rsidRDefault="0031530E" w:rsidP="0031530E"/>
    <w:p w14:paraId="7DCDB70E" w14:textId="4259384A" w:rsidR="00A122BF" w:rsidRDefault="00C20C41" w:rsidP="0031530E">
      <w:pPr>
        <w:ind w:left="720"/>
      </w:pPr>
      <w:r w:rsidRPr="00C20C41">
        <w:t xml:space="preserve">Defining index 1 to represent the vaccine group and 2 the placebo group, we find </w:t>
      </w:r>
      <w:r w:rsidRPr="00C20C41">
        <w:rPr>
          <w:position w:val="-4"/>
        </w:rPr>
        <w:object w:dxaOrig="620" w:dyaOrig="499" w14:anchorId="12EC6DA4">
          <v:shape id="_x0000_i1031" type="#_x0000_t75" style="width:29.6pt;height:24pt" o:ole="">
            <v:imagedata r:id="rId20" o:title=""/>
          </v:shape>
          <o:OLEObject Type="Embed" ProgID="Equation.DSMT4" ShapeID="_x0000_i1031" DrawAspect="Content" ObjectID="_1737540489" r:id="rId21"/>
        </w:object>
      </w:r>
      <w:r>
        <w:t xml:space="preserve"> </w:t>
      </w:r>
      <w:r w:rsidRPr="00C20C41">
        <w:t>=</w:t>
      </w:r>
      <w:r>
        <w:t xml:space="preserve"> 0.</w:t>
      </w:r>
      <w:r w:rsidR="00E62CFF">
        <w:t>0497</w:t>
      </w:r>
      <w:r w:rsidRPr="00C20C41">
        <w:t xml:space="preserve">. </w:t>
      </w:r>
      <w:r w:rsidR="00A122BF" w:rsidRPr="00A122BF">
        <w:t xml:space="preserve">The </w:t>
      </w:r>
      <w:r w:rsidR="00A122BF" w:rsidRPr="005A2467">
        <w:rPr>
          <w:b/>
        </w:rPr>
        <w:t>estimated</w:t>
      </w:r>
      <w:r w:rsidR="00A122BF" w:rsidRPr="00A122BF">
        <w:t xml:space="preserve"> probability of </w:t>
      </w:r>
      <w:r w:rsidR="00E62CFF">
        <w:t xml:space="preserve">infection </w:t>
      </w:r>
      <w:r w:rsidR="00A122BF" w:rsidRPr="00A122BF">
        <w:t xml:space="preserve">is </w:t>
      </w:r>
      <w:r w:rsidR="00A122BF">
        <w:t>0.</w:t>
      </w:r>
      <w:r w:rsidR="00E62CFF">
        <w:t>05</w:t>
      </w:r>
      <w:r w:rsidR="00A122BF">
        <w:t xml:space="preserve"> </w:t>
      </w:r>
      <w:r w:rsidR="00A122BF" w:rsidRPr="00A122BF">
        <w:t xml:space="preserve">times as </w:t>
      </w:r>
      <w:r w:rsidR="00DE24C3">
        <w:t>large</w:t>
      </w:r>
      <w:r w:rsidR="005A2467">
        <w:t xml:space="preserve"> for those individuals receiving the vaccine than those receiving the placebo. </w:t>
      </w:r>
    </w:p>
    <w:p w14:paraId="321254A5" w14:textId="77777777" w:rsidR="00C20C41" w:rsidRDefault="00C20C41" w:rsidP="0031530E">
      <w:pPr>
        <w:ind w:left="720"/>
      </w:pPr>
    </w:p>
    <w:p w14:paraId="53B0A0E0" w14:textId="1FB67E34" w:rsidR="00DE24C3" w:rsidRDefault="00C20C41" w:rsidP="007F4172">
      <w:pPr>
        <w:ind w:left="720"/>
      </w:pPr>
      <w:r w:rsidRPr="00C20C41">
        <w:t xml:space="preserve">The </w:t>
      </w:r>
      <w:r w:rsidR="007A5741">
        <w:t xml:space="preserve">95% </w:t>
      </w:r>
      <w:r w:rsidRPr="00C20C41">
        <w:t>conf</w:t>
      </w:r>
      <w:r w:rsidR="00E62CFF">
        <w:t>idence interval is 0.0244</w:t>
      </w:r>
      <w:r w:rsidR="007A5741">
        <w:t xml:space="preserve"> </w:t>
      </w:r>
      <w:r>
        <w:t>&lt;</w:t>
      </w:r>
      <w:r w:rsidR="007A5741">
        <w:t xml:space="preserve"> </w:t>
      </w:r>
      <w:r>
        <w:t>RR</w:t>
      </w:r>
      <w:r w:rsidR="007A5741">
        <w:t xml:space="preserve"> </w:t>
      </w:r>
      <w:r>
        <w:t>&lt;</w:t>
      </w:r>
      <w:r w:rsidR="007A5741">
        <w:t xml:space="preserve"> </w:t>
      </w:r>
      <w:r>
        <w:t>0.</w:t>
      </w:r>
      <w:r w:rsidR="00E62CFF">
        <w:t>1010</w:t>
      </w:r>
      <w:r w:rsidRPr="00C20C41">
        <w:t xml:space="preserve">. </w:t>
      </w:r>
      <w:r w:rsidR="00DE24C3">
        <w:t xml:space="preserve">Therefore, with 95% confidence, probability </w:t>
      </w:r>
      <w:r w:rsidR="00DE24C3" w:rsidRPr="00A122BF">
        <w:t xml:space="preserve">of </w:t>
      </w:r>
      <w:r w:rsidR="00E62CFF">
        <w:t xml:space="preserve">infection </w:t>
      </w:r>
      <w:r w:rsidR="00DE24C3" w:rsidRPr="00A122BF">
        <w:t xml:space="preserve">is </w:t>
      </w:r>
      <w:r w:rsidR="00E62CFF">
        <w:t>between 0.02</w:t>
      </w:r>
      <w:r w:rsidR="00DE24C3">
        <w:t xml:space="preserve"> and 0.</w:t>
      </w:r>
      <w:r w:rsidR="00E62CFF">
        <w:t>10</w:t>
      </w:r>
      <w:r w:rsidR="00DE24C3">
        <w:t xml:space="preserve"> time</w:t>
      </w:r>
      <w:r w:rsidR="00DE24C3" w:rsidRPr="00A122BF">
        <w:t xml:space="preserve">s as </w:t>
      </w:r>
      <w:r w:rsidR="00DE24C3">
        <w:t>large for those individuals receiving the vaccine th</w:t>
      </w:r>
      <w:r w:rsidR="002B32BA">
        <w:t>an those receiving the placebo.</w:t>
      </w:r>
    </w:p>
    <w:p w14:paraId="0C2E51D2" w14:textId="77777777" w:rsidR="00C20C41" w:rsidRDefault="00C20C41" w:rsidP="0031530E">
      <w:pPr>
        <w:ind w:left="720"/>
      </w:pPr>
    </w:p>
    <w:p w14:paraId="68059684" w14:textId="77777777" w:rsidR="00C20C41" w:rsidRDefault="007F4172" w:rsidP="0031530E">
      <w:pPr>
        <w:ind w:left="720"/>
      </w:pPr>
      <w:r w:rsidRPr="007F4172">
        <w:rPr>
          <w:u w:val="single"/>
        </w:rPr>
        <w:t>Comments</w:t>
      </w:r>
      <w:r>
        <w:t>:</w:t>
      </w:r>
    </w:p>
    <w:p w14:paraId="396C2CC1" w14:textId="0C84852B" w:rsidR="007F4172" w:rsidRDefault="007F4172" w:rsidP="00FF5224">
      <w:pPr>
        <w:pStyle w:val="ListParagraph"/>
        <w:numPr>
          <w:ilvl w:val="0"/>
          <w:numId w:val="6"/>
        </w:numPr>
      </w:pPr>
      <w:r>
        <w:t>For cases like this, we are interested in “risk reduction” provided by one of the groups</w:t>
      </w:r>
      <w:r w:rsidR="007A5741">
        <w:t>,</w:t>
      </w:r>
      <w:r>
        <w:t xml:space="preserve"> so it is natural to interpret the relative risk in this manner. </w:t>
      </w:r>
      <w:r w:rsidR="00DE24C3">
        <w:t>For example, we could say</w:t>
      </w:r>
      <w:r w:rsidR="00146050">
        <w:t xml:space="preserve"> the </w:t>
      </w:r>
      <w:r w:rsidR="00146050" w:rsidRPr="00C20C41">
        <w:t xml:space="preserve">vaccine </w:t>
      </w:r>
      <w:r w:rsidR="00146050">
        <w:t xml:space="preserve">reduces the risk of infection by an estimated 95%, and </w:t>
      </w:r>
    </w:p>
    <w:p w14:paraId="1BE52DDE" w14:textId="77777777" w:rsidR="00DE24C3" w:rsidRDefault="00DE24C3" w:rsidP="00DE24C3">
      <w:pPr>
        <w:pStyle w:val="ListParagraph"/>
        <w:ind w:left="1080"/>
      </w:pPr>
    </w:p>
    <w:p w14:paraId="4EFAC9BF" w14:textId="734B6F27" w:rsidR="00146050" w:rsidRDefault="002B32BA" w:rsidP="00146050">
      <w:pPr>
        <w:ind w:left="1440"/>
      </w:pPr>
      <w:r>
        <w:t>w</w:t>
      </w:r>
      <w:r w:rsidR="00DE24C3" w:rsidRPr="00C20C41">
        <w:t xml:space="preserve">ith 95% confidence, the vaccine </w:t>
      </w:r>
      <w:r w:rsidR="00DE24C3">
        <w:t xml:space="preserve">reduces the risk of </w:t>
      </w:r>
      <w:r w:rsidR="00E62CFF">
        <w:t xml:space="preserve">infection </w:t>
      </w:r>
      <w:r w:rsidR="00DE24C3">
        <w:t xml:space="preserve">by </w:t>
      </w:r>
      <w:r w:rsidR="00E62CFF">
        <w:t>90</w:t>
      </w:r>
      <w:r w:rsidR="00DE24C3">
        <w:t xml:space="preserve">% to </w:t>
      </w:r>
      <w:r w:rsidR="00E62CFF">
        <w:t>98</w:t>
      </w:r>
      <w:r w:rsidR="00DE24C3" w:rsidRPr="00C20C41">
        <w:t>%.</w:t>
      </w:r>
      <w:r w:rsidR="00DE24C3">
        <w:t xml:space="preserve"> </w:t>
      </w:r>
    </w:p>
    <w:p w14:paraId="35E6B9A1" w14:textId="77777777" w:rsidR="00146050" w:rsidRDefault="00146050" w:rsidP="00146050">
      <w:pPr>
        <w:ind w:left="1440"/>
      </w:pPr>
    </w:p>
    <w:p w14:paraId="702F6800" w14:textId="7A6A5070" w:rsidR="00146050" w:rsidRDefault="00146050" w:rsidP="00146050">
      <w:pPr>
        <w:ind w:left="1080"/>
      </w:pPr>
      <w:r>
        <w:t xml:space="preserve">Risk reduction for vaccine clinical trials corresponds to the measure known as </w:t>
      </w:r>
      <w:r w:rsidRPr="00146050">
        <w:rPr>
          <w:u w:val="single"/>
        </w:rPr>
        <w:t>vaccine efficacy</w:t>
      </w:r>
      <w:r>
        <w:t xml:space="preserve">: VE = 1 – RR. A headline from </w:t>
      </w:r>
      <w:r w:rsidRPr="00146050">
        <w:rPr>
          <w:i/>
        </w:rPr>
        <w:t>The New York Times</w:t>
      </w:r>
      <w:r>
        <w:t xml:space="preserve"> in 2020 highlighted this measure when the results from the </w:t>
      </w:r>
      <w:r>
        <w:lastRenderedPageBreak/>
        <w:t xml:space="preserve">clinical trial for the Pfizer-BioNTech COVID-19 </w:t>
      </w:r>
      <w:proofErr w:type="gramStart"/>
      <w:r>
        <w:t>vaccine  were</w:t>
      </w:r>
      <w:proofErr w:type="gramEnd"/>
      <w:r>
        <w:t xml:space="preserve"> released: </w:t>
      </w:r>
    </w:p>
    <w:p w14:paraId="2835FEF2" w14:textId="77777777" w:rsidR="00146050" w:rsidRDefault="00146050" w:rsidP="00146050">
      <w:pPr>
        <w:ind w:left="1080"/>
      </w:pPr>
    </w:p>
    <w:p w14:paraId="02FC7FFC" w14:textId="32F4A38B" w:rsidR="00146050" w:rsidRDefault="00146050" w:rsidP="00146050">
      <w:pPr>
        <w:ind w:left="1080"/>
      </w:pPr>
      <w:r w:rsidRPr="00146050">
        <w:rPr>
          <w:noProof/>
        </w:rPr>
        <w:drawing>
          <wp:inline distT="0" distB="0" distL="0" distR="0" wp14:anchorId="6E32D213" wp14:editId="2EB22727">
            <wp:extent cx="5730737" cy="1851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185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848B75A" w14:textId="77777777" w:rsidR="00DE24C3" w:rsidRDefault="00DE24C3" w:rsidP="00DE24C3">
      <w:pPr>
        <w:pStyle w:val="ListParagraph"/>
        <w:ind w:left="1080"/>
      </w:pPr>
    </w:p>
    <w:p w14:paraId="05FDCA0C" w14:textId="38B87C93" w:rsidR="007F4172" w:rsidRDefault="007F4172" w:rsidP="00FF5224">
      <w:pPr>
        <w:pStyle w:val="ListParagraph"/>
        <w:numPr>
          <w:ilvl w:val="0"/>
          <w:numId w:val="6"/>
        </w:numPr>
      </w:pPr>
      <w:r>
        <w:t xml:space="preserve">In other situations, we will want to invert the relative risk so that we are always interpreting a quantity greater than 1. For example, </w:t>
      </w:r>
      <w:r w:rsidR="005B34CD">
        <w:t xml:space="preserve">the </w:t>
      </w:r>
      <w:r w:rsidR="002471AF">
        <w:t xml:space="preserve">estimated </w:t>
      </w:r>
      <w:r w:rsidR="005B34CD">
        <w:t xml:space="preserve">probability of </w:t>
      </w:r>
      <w:r w:rsidR="00E62CFF">
        <w:t xml:space="preserve">infection </w:t>
      </w:r>
      <w:r w:rsidR="005B34CD">
        <w:t>is 2</w:t>
      </w:r>
      <w:r w:rsidR="00E62CFF">
        <w:t xml:space="preserve">0 </w:t>
      </w:r>
      <w:r w:rsidR="005B34CD">
        <w:t xml:space="preserve">times as </w:t>
      </w:r>
      <w:r w:rsidR="00DE24C3">
        <w:t>large</w:t>
      </w:r>
      <w:r w:rsidR="005B34CD">
        <w:t xml:space="preserve"> for the placebo group than the vaccine group. </w:t>
      </w:r>
      <w:r w:rsidR="007A5741">
        <w:t>This interpretation is probably not as desirable</w:t>
      </w:r>
      <w:r w:rsidR="00216972">
        <w:t xml:space="preserve"> for this example</w:t>
      </w:r>
      <w:r w:rsidR="007A5741">
        <w:t xml:space="preserve">. </w:t>
      </w:r>
    </w:p>
    <w:p w14:paraId="743CF158" w14:textId="77777777" w:rsidR="007F4172" w:rsidRDefault="007F4172" w:rsidP="00FF5224">
      <w:pPr>
        <w:pStyle w:val="ListParagraph"/>
        <w:numPr>
          <w:ilvl w:val="0"/>
          <w:numId w:val="6"/>
        </w:numPr>
      </w:pPr>
      <w:r w:rsidRPr="00C20C41">
        <w:t xml:space="preserve">Notice that </w:t>
      </w:r>
      <w:r>
        <w:t>“</w:t>
      </w:r>
      <w:r w:rsidRPr="00C20C41">
        <w:t>estimated</w:t>
      </w:r>
      <w:r>
        <w:t>”</w:t>
      </w:r>
      <w:r w:rsidRPr="00C20C41">
        <w:t xml:space="preserve"> is not used for </w:t>
      </w:r>
      <w:r>
        <w:t xml:space="preserve">the confidence interval </w:t>
      </w:r>
      <w:r w:rsidRPr="00C20C41">
        <w:t xml:space="preserve">interpretation because </w:t>
      </w:r>
      <w:r>
        <w:t xml:space="preserve">it is stated for </w:t>
      </w:r>
      <w:r w:rsidRPr="00C20C41">
        <w:t>a</w:t>
      </w:r>
      <w:r>
        <w:t xml:space="preserve"> particular parameter not the statistic (estimate). </w:t>
      </w:r>
    </w:p>
    <w:p w14:paraId="366BA8B4" w14:textId="77777777" w:rsidR="00146050" w:rsidRDefault="00A46392" w:rsidP="00FF5224">
      <w:pPr>
        <w:pStyle w:val="ListParagraph"/>
        <w:numPr>
          <w:ilvl w:val="0"/>
          <w:numId w:val="6"/>
        </w:numPr>
      </w:pPr>
      <w:r>
        <w:t xml:space="preserve">Would you rather be in the placebo or vaccine group? Why? </w:t>
      </w:r>
    </w:p>
    <w:p w14:paraId="04D0C8B3" w14:textId="4D91C06A" w:rsidR="00E62CFF" w:rsidRDefault="00E62CFF" w:rsidP="00A169B0">
      <w:pPr>
        <w:rPr>
          <w:u w:val="single"/>
        </w:rPr>
      </w:pPr>
    </w:p>
    <w:p w14:paraId="6B8F83D6" w14:textId="77777777" w:rsidR="00146050" w:rsidRPr="00A169B0" w:rsidRDefault="00146050" w:rsidP="00A169B0">
      <w:pPr>
        <w:rPr>
          <w:u w:val="single"/>
        </w:rPr>
      </w:pPr>
    </w:p>
    <w:p w14:paraId="456577C3" w14:textId="77777777" w:rsidR="005B7A31" w:rsidRDefault="005B7A31">
      <w:pPr>
        <w:jc w:val="left"/>
        <w:rPr>
          <w:u w:val="single"/>
        </w:rPr>
      </w:pPr>
      <w:r>
        <w:rPr>
          <w:u w:val="single"/>
        </w:rPr>
        <w:br w:type="page"/>
      </w:r>
    </w:p>
    <w:p w14:paraId="130299F7" w14:textId="7C14CF66" w:rsidR="00172BF4" w:rsidRPr="00893229" w:rsidRDefault="00172BF4" w:rsidP="00172BF4">
      <w:r>
        <w:rPr>
          <w:u w:val="single"/>
        </w:rPr>
        <w:lastRenderedPageBreak/>
        <w:t>Example</w:t>
      </w:r>
      <w:r>
        <w:t xml:space="preserve">: Larry Bird </w:t>
      </w:r>
      <w:r w:rsidR="001C4325">
        <w:t>(</w:t>
      </w:r>
      <w:proofErr w:type="spellStart"/>
      <w:r w:rsidR="00A122BF">
        <w:t>B</w:t>
      </w:r>
      <w:r w:rsidR="001C4325">
        <w:t>ird.</w:t>
      </w:r>
      <w:r w:rsidR="00B3603A">
        <w:t>R</w:t>
      </w:r>
      <w:proofErr w:type="spellEnd"/>
      <w:r w:rsidR="001C4325">
        <w:t>)</w:t>
      </w:r>
    </w:p>
    <w:p w14:paraId="65D9447A" w14:textId="77777777" w:rsidR="00C660D0" w:rsidRDefault="00C660D0" w:rsidP="00C660D0">
      <w:pPr>
        <w:ind w:left="864"/>
      </w:pPr>
    </w:p>
    <w:p w14:paraId="5B24F045" w14:textId="77777777" w:rsidR="00A169B0" w:rsidRDefault="00A169B0" w:rsidP="00A169B0">
      <w:pPr>
        <w:ind w:left="720"/>
      </w:pPr>
      <w:r>
        <w:t xml:space="preserve">Examining the relative risk may not be as important for this problem, but we can still calculate it. </w:t>
      </w:r>
    </w:p>
    <w:p w14:paraId="33227776" w14:textId="77777777" w:rsidR="001B607A" w:rsidRPr="00C660D0" w:rsidRDefault="001B607A" w:rsidP="001B607A"/>
    <w:tbl>
      <w:tblPr>
        <w:tblW w:w="9315" w:type="dxa"/>
        <w:tblInd w:w="720" w:type="dxa"/>
        <w:tblLook w:val="0000" w:firstRow="0" w:lastRow="0" w:firstColumn="0" w:lastColumn="0" w:noHBand="0" w:noVBand="0"/>
      </w:tblPr>
      <w:tblGrid>
        <w:gridCol w:w="1488"/>
        <w:gridCol w:w="1488"/>
        <w:gridCol w:w="2334"/>
        <w:gridCol w:w="2880"/>
        <w:gridCol w:w="1125"/>
      </w:tblGrid>
      <w:tr w:rsidR="00172BF4" w:rsidRPr="001D29CE" w14:paraId="5946B6A0" w14:textId="77777777" w:rsidTr="00146050">
        <w:trPr>
          <w:trHeight w:val="255"/>
        </w:trPr>
        <w:tc>
          <w:tcPr>
            <w:tcW w:w="148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DAF07" w14:textId="77777777" w:rsidR="00172BF4" w:rsidRPr="001D29CE" w:rsidRDefault="00172BF4" w:rsidP="00E20BAF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06C1E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0AD2A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Second</w:t>
            </w:r>
          </w:p>
        </w:tc>
        <w:tc>
          <w:tcPr>
            <w:tcW w:w="1125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507FFE2C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</w:tr>
      <w:tr w:rsidR="00172BF4" w:rsidRPr="001D29CE" w14:paraId="4C696961" w14:textId="77777777" w:rsidTr="00146050">
        <w:trPr>
          <w:trHeight w:val="255"/>
        </w:trPr>
        <w:tc>
          <w:tcPr>
            <w:tcW w:w="14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8ED66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0A4C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A77B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Made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D10E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Missed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8E8D7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Total</w:t>
            </w:r>
          </w:p>
        </w:tc>
      </w:tr>
      <w:tr w:rsidR="00172BF4" w:rsidRPr="001D29CE" w14:paraId="5F755009" w14:textId="77777777" w:rsidTr="00146050">
        <w:trPr>
          <w:trHeight w:val="25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9006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First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EB3B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Made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A600FE" w14:textId="2EC34B09" w:rsidR="00172BF4" w:rsidRPr="0005171E" w:rsidRDefault="00FA36D0" w:rsidP="00E20BAF">
            <w:pPr>
              <w:jc w:val="center"/>
              <w:rPr>
                <w:rFonts w:cs="Arial"/>
              </w:rPr>
            </w:pPr>
            <w:r w:rsidRPr="00FA36D0">
              <w:rPr>
                <w:position w:val="-10"/>
                <w:sz w:val="36"/>
              </w:rPr>
              <w:object w:dxaOrig="360" w:dyaOrig="460" w14:anchorId="1336F8A2">
                <v:shape id="_x0000_i1032" type="#_x0000_t75" style="width:18.4pt;height:23.2pt" o:ole="">
                  <v:imagedata r:id="rId23" o:title=""/>
                </v:shape>
                <o:OLEObject Type="Embed" ProgID="Equation.DSMT4" ShapeID="_x0000_i1032" DrawAspect="Content" ObjectID="_1737540490" r:id="rId24"/>
              </w:object>
            </w:r>
            <w:r w:rsidR="00146050">
              <w:rPr>
                <w:sz w:val="36"/>
              </w:rPr>
              <w:t xml:space="preserve"> </w:t>
            </w:r>
            <w:r w:rsidR="00172BF4">
              <w:rPr>
                <w:sz w:val="36"/>
              </w:rPr>
              <w:t>=</w:t>
            </w:r>
            <w:r w:rsidR="00146050">
              <w:rPr>
                <w:sz w:val="36"/>
              </w:rPr>
              <w:t xml:space="preserve"> </w:t>
            </w:r>
            <w:r w:rsidR="00172BF4" w:rsidRPr="0005171E">
              <w:rPr>
                <w:rFonts w:cs="Arial"/>
              </w:rPr>
              <w:t>0.880</w:t>
            </w:r>
            <w:r w:rsidR="00172BF4">
              <w:rPr>
                <w:rFonts w:cs="Arial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80D07D" w14:textId="7641338E" w:rsidR="00172BF4" w:rsidRPr="001D29CE" w:rsidRDefault="00FA36D0" w:rsidP="00E20BAF">
            <w:pPr>
              <w:jc w:val="center"/>
              <w:rPr>
                <w:rFonts w:cs="Arial"/>
              </w:rPr>
            </w:pPr>
            <w:r w:rsidRPr="00FA36D0">
              <w:rPr>
                <w:position w:val="-10"/>
                <w:sz w:val="36"/>
              </w:rPr>
              <w:object w:dxaOrig="880" w:dyaOrig="460" w14:anchorId="3EED2057">
                <v:shape id="_x0000_i1033" type="#_x0000_t75" style="width:43.2pt;height:23.2pt" o:ole="">
                  <v:imagedata r:id="rId25" o:title=""/>
                </v:shape>
                <o:OLEObject Type="Embed" ProgID="Equation.DSMT4" ShapeID="_x0000_i1033" DrawAspect="Content" ObjectID="_1737540491" r:id="rId26"/>
              </w:object>
            </w:r>
            <w:r w:rsidR="00146050">
              <w:rPr>
                <w:sz w:val="36"/>
              </w:rPr>
              <w:t xml:space="preserve"> </w:t>
            </w:r>
            <w:r w:rsidR="00172BF4">
              <w:rPr>
                <w:sz w:val="36"/>
              </w:rPr>
              <w:t>=</w:t>
            </w:r>
            <w:r w:rsidR="00146050">
              <w:rPr>
                <w:sz w:val="36"/>
              </w:rPr>
              <w:t xml:space="preserve"> </w:t>
            </w:r>
            <w:r w:rsidR="00172BF4" w:rsidRPr="001D29CE">
              <w:rPr>
                <w:rFonts w:cs="Arial"/>
              </w:rPr>
              <w:t>0.1</w:t>
            </w:r>
            <w:r w:rsidR="00172BF4">
              <w:rPr>
                <w:rFonts w:cs="Arial"/>
              </w:rPr>
              <w:t>193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B186F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>
              <w:rPr>
                <w:sz w:val="36"/>
              </w:rPr>
              <w:t>1</w:t>
            </w:r>
          </w:p>
        </w:tc>
      </w:tr>
      <w:tr w:rsidR="00172BF4" w:rsidRPr="001D29CE" w14:paraId="24A079CF" w14:textId="77777777" w:rsidTr="00146050">
        <w:trPr>
          <w:trHeight w:val="255"/>
        </w:trPr>
        <w:tc>
          <w:tcPr>
            <w:tcW w:w="14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50D2" w14:textId="77777777" w:rsidR="00172BF4" w:rsidRPr="001D29CE" w:rsidRDefault="00172BF4" w:rsidP="00E20BAF">
            <w:pPr>
              <w:rPr>
                <w:rFonts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632D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 w:rsidRPr="001D29CE">
              <w:rPr>
                <w:rFonts w:cs="Arial"/>
              </w:rPr>
              <w:t>Missed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BA9BDA" w14:textId="543F3B4B" w:rsidR="00172BF4" w:rsidRPr="001D29CE" w:rsidRDefault="00FA36D0" w:rsidP="00E20BAF">
            <w:pPr>
              <w:jc w:val="center"/>
              <w:rPr>
                <w:rFonts w:cs="Arial"/>
              </w:rPr>
            </w:pPr>
            <w:r w:rsidRPr="00FA36D0">
              <w:rPr>
                <w:position w:val="-10"/>
                <w:sz w:val="36"/>
              </w:rPr>
              <w:object w:dxaOrig="420" w:dyaOrig="460" w14:anchorId="29FE7A01">
                <v:shape id="_x0000_i1034" type="#_x0000_t75" style="width:20.8pt;height:23.2pt" o:ole="">
                  <v:imagedata r:id="rId27" o:title=""/>
                </v:shape>
                <o:OLEObject Type="Embed" ProgID="Equation.DSMT4" ShapeID="_x0000_i1034" DrawAspect="Content" ObjectID="_1737540492" r:id="rId28"/>
              </w:object>
            </w:r>
            <w:r w:rsidR="00146050">
              <w:rPr>
                <w:sz w:val="36"/>
              </w:rPr>
              <w:t xml:space="preserve"> </w:t>
            </w:r>
            <w:r w:rsidR="00172BF4">
              <w:rPr>
                <w:sz w:val="36"/>
              </w:rPr>
              <w:t>=</w:t>
            </w:r>
            <w:r w:rsidR="00146050">
              <w:rPr>
                <w:sz w:val="36"/>
              </w:rPr>
              <w:t xml:space="preserve"> </w:t>
            </w:r>
            <w:r w:rsidR="00172BF4">
              <w:t>0.9057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9C040" w14:textId="4E62D416" w:rsidR="00172BF4" w:rsidRPr="001D29CE" w:rsidRDefault="00FA36D0" w:rsidP="00E20BAF">
            <w:pPr>
              <w:jc w:val="center"/>
              <w:rPr>
                <w:rFonts w:cs="Arial"/>
              </w:rPr>
            </w:pPr>
            <w:r w:rsidRPr="00FA36D0">
              <w:rPr>
                <w:position w:val="-10"/>
                <w:sz w:val="36"/>
              </w:rPr>
              <w:object w:dxaOrig="920" w:dyaOrig="460" w14:anchorId="229B4E62">
                <v:shape id="_x0000_i1035" type="#_x0000_t75" style="width:48pt;height:23.2pt" o:ole="">
                  <v:imagedata r:id="rId29" o:title=""/>
                </v:shape>
                <o:OLEObject Type="Embed" ProgID="Equation.DSMT4" ShapeID="_x0000_i1035" DrawAspect="Content" ObjectID="_1737540493" r:id="rId30"/>
              </w:object>
            </w:r>
            <w:r w:rsidR="00146050">
              <w:rPr>
                <w:sz w:val="36"/>
              </w:rPr>
              <w:t xml:space="preserve"> </w:t>
            </w:r>
            <w:r w:rsidR="00172BF4">
              <w:rPr>
                <w:sz w:val="36"/>
              </w:rPr>
              <w:t>=</w:t>
            </w:r>
            <w:r w:rsidR="00146050">
              <w:rPr>
                <w:sz w:val="36"/>
              </w:rPr>
              <w:t xml:space="preserve"> </w:t>
            </w:r>
            <w:r w:rsidR="00172BF4" w:rsidRPr="001D29CE">
              <w:rPr>
                <w:rFonts w:cs="Arial"/>
              </w:rPr>
              <w:t>0.0</w:t>
            </w:r>
            <w:r w:rsidR="00172BF4">
              <w:rPr>
                <w:rFonts w:cs="Arial"/>
              </w:rPr>
              <w:t>943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15116" w14:textId="77777777" w:rsidR="00172BF4" w:rsidRPr="001D29CE" w:rsidRDefault="00172BF4" w:rsidP="00E20BAF">
            <w:pPr>
              <w:jc w:val="center"/>
              <w:rPr>
                <w:rFonts w:cs="Arial"/>
              </w:rPr>
            </w:pPr>
            <w:r>
              <w:rPr>
                <w:sz w:val="36"/>
              </w:rPr>
              <w:t>1</w:t>
            </w:r>
          </w:p>
        </w:tc>
      </w:tr>
    </w:tbl>
    <w:p w14:paraId="3B6DB23F" w14:textId="77777777" w:rsidR="00E51D0E" w:rsidRDefault="00E51D0E" w:rsidP="00E51D0E">
      <w:pPr>
        <w:ind w:left="720"/>
      </w:pPr>
    </w:p>
    <w:p w14:paraId="7A5BEFA1" w14:textId="2D48177C" w:rsidR="00E51D0E" w:rsidRDefault="0016260A" w:rsidP="00E51D0E">
      <w:pPr>
        <w:ind w:left="720"/>
      </w:pPr>
      <w:r>
        <w:t>Code and output from earlier</w:t>
      </w:r>
      <w:r w:rsidR="00216972">
        <w:t>:</w:t>
      </w:r>
    </w:p>
    <w:p w14:paraId="3404DE0A" w14:textId="77777777" w:rsidR="00E51D0E" w:rsidRDefault="00E51D0E" w:rsidP="00E51D0E">
      <w:pPr>
        <w:ind w:left="720"/>
      </w:pPr>
    </w:p>
    <w:p w14:paraId="11EE1E1B" w14:textId="77777777" w:rsidR="007D4448" w:rsidRDefault="007D4448" w:rsidP="007D4448">
      <w:pPr>
        <w:pStyle w:val="R14"/>
      </w:pPr>
      <w:r>
        <w:t xml:space="preserve">&gt; </w:t>
      </w:r>
      <w:proofErr w:type="spellStart"/>
      <w:r>
        <w:t>c.table</w:t>
      </w:r>
      <w:proofErr w:type="spellEnd"/>
      <w:r>
        <w:t xml:space="preserve"> &lt;- </w:t>
      </w:r>
      <w:proofErr w:type="gramStart"/>
      <w:r>
        <w:t>array(</w:t>
      </w:r>
      <w:proofErr w:type="gramEnd"/>
      <w:r>
        <w:t xml:space="preserve">data = c(251, 48, 34, 5), dim = c(2,2), </w:t>
      </w:r>
      <w:proofErr w:type="spellStart"/>
      <w:r>
        <w:t>dimnames</w:t>
      </w:r>
      <w:proofErr w:type="spellEnd"/>
      <w:r>
        <w:t xml:space="preserve"> = list(First = c("made", "missed"), Second = </w:t>
      </w:r>
    </w:p>
    <w:p w14:paraId="7705BBE9" w14:textId="4C02B3AE" w:rsidR="007D4448" w:rsidRDefault="007D4448" w:rsidP="007D4448">
      <w:pPr>
        <w:pStyle w:val="R14"/>
      </w:pPr>
      <w:r>
        <w:t xml:space="preserve">    </w:t>
      </w:r>
      <w:proofErr w:type="gramStart"/>
      <w:r>
        <w:t>c(</w:t>
      </w:r>
      <w:proofErr w:type="gramEnd"/>
      <w:r>
        <w:t xml:space="preserve">"made", "missed"))) </w:t>
      </w:r>
    </w:p>
    <w:p w14:paraId="12F0BE67" w14:textId="77777777" w:rsidR="007D4448" w:rsidRDefault="007D4448" w:rsidP="007D4448">
      <w:pPr>
        <w:pStyle w:val="R14"/>
      </w:pPr>
      <w:r>
        <w:t xml:space="preserve">&gt; </w:t>
      </w:r>
      <w:proofErr w:type="spellStart"/>
      <w:r>
        <w:t>pi.hat.table</w:t>
      </w:r>
      <w:proofErr w:type="spellEnd"/>
      <w:r>
        <w:t xml:space="preserve"> &lt;- </w:t>
      </w:r>
      <w:proofErr w:type="spellStart"/>
      <w:r>
        <w:t>c.table</w:t>
      </w:r>
      <w:proofErr w:type="spellEnd"/>
      <w:r>
        <w:t>/</w:t>
      </w:r>
      <w:proofErr w:type="spellStart"/>
      <w:proofErr w:type="gramStart"/>
      <w:r>
        <w:t>rowSums</w:t>
      </w:r>
      <w:proofErr w:type="spellEnd"/>
      <w:r>
        <w:t>(</w:t>
      </w:r>
      <w:proofErr w:type="spellStart"/>
      <w:proofErr w:type="gramEnd"/>
      <w:r>
        <w:t>c.table</w:t>
      </w:r>
      <w:proofErr w:type="spellEnd"/>
      <w:r>
        <w:t>)</w:t>
      </w:r>
    </w:p>
    <w:p w14:paraId="71DF86C9" w14:textId="77777777" w:rsidR="007D4448" w:rsidRPr="0031530E" w:rsidRDefault="007D4448" w:rsidP="007D4448">
      <w:pPr>
        <w:pStyle w:val="R14"/>
      </w:pPr>
      <w:r w:rsidRPr="0031530E">
        <w:t>&gt; pi.hat1</w:t>
      </w:r>
      <w:r>
        <w:t xml:space="preserve"> </w:t>
      </w:r>
      <w:r w:rsidRPr="0031530E">
        <w:t>&lt;-</w:t>
      </w:r>
      <w:r>
        <w:t xml:space="preserve"> </w:t>
      </w:r>
      <w:proofErr w:type="spellStart"/>
      <w:proofErr w:type="gramStart"/>
      <w:r w:rsidRPr="0031530E">
        <w:t>pi.hat.table</w:t>
      </w:r>
      <w:proofErr w:type="spellEnd"/>
      <w:r w:rsidRPr="0031530E">
        <w:t>[</w:t>
      </w:r>
      <w:proofErr w:type="gramEnd"/>
      <w:r w:rsidRPr="0031530E">
        <w:t xml:space="preserve">1,1] </w:t>
      </w:r>
    </w:p>
    <w:p w14:paraId="2742B911" w14:textId="77777777" w:rsidR="007D4448" w:rsidRPr="0031530E" w:rsidRDefault="007D4448" w:rsidP="007D4448">
      <w:pPr>
        <w:pStyle w:val="R14"/>
      </w:pPr>
      <w:r w:rsidRPr="0031530E">
        <w:t>&gt; pi.hat2</w:t>
      </w:r>
      <w:r>
        <w:t xml:space="preserve"> </w:t>
      </w:r>
      <w:r w:rsidRPr="0031530E">
        <w:t>&lt;-</w:t>
      </w:r>
      <w:r>
        <w:t xml:space="preserve"> </w:t>
      </w:r>
      <w:proofErr w:type="spellStart"/>
      <w:proofErr w:type="gramStart"/>
      <w:r w:rsidRPr="0031530E">
        <w:t>pi.hat.table</w:t>
      </w:r>
      <w:proofErr w:type="spellEnd"/>
      <w:r w:rsidRPr="0031530E">
        <w:t>[</w:t>
      </w:r>
      <w:proofErr w:type="gramEnd"/>
      <w:r w:rsidRPr="0031530E">
        <w:t>2,1]</w:t>
      </w:r>
    </w:p>
    <w:p w14:paraId="361F41C9" w14:textId="76FDCE90" w:rsidR="007D4448" w:rsidRDefault="007D4448" w:rsidP="00A37B48">
      <w:pPr>
        <w:pStyle w:val="R14"/>
      </w:pPr>
    </w:p>
    <w:p w14:paraId="01EA5457" w14:textId="2C115BEF" w:rsidR="0016260A" w:rsidRDefault="0016260A" w:rsidP="0016260A">
      <w:pPr>
        <w:ind w:left="720"/>
      </w:pPr>
      <w:r>
        <w:t xml:space="preserve">New code and output: </w:t>
      </w:r>
    </w:p>
    <w:p w14:paraId="0687AB15" w14:textId="77777777" w:rsidR="0016260A" w:rsidRDefault="0016260A" w:rsidP="00A37B48">
      <w:pPr>
        <w:pStyle w:val="R14"/>
      </w:pPr>
    </w:p>
    <w:p w14:paraId="5A4C19DA" w14:textId="5929DD65" w:rsidR="00A37B48" w:rsidRDefault="00A37B48" w:rsidP="00A37B48">
      <w:pPr>
        <w:pStyle w:val="R14"/>
      </w:pPr>
      <w:r>
        <w:t xml:space="preserve">&gt; </w:t>
      </w:r>
      <w:proofErr w:type="gramStart"/>
      <w:r>
        <w:t>round(</w:t>
      </w:r>
      <w:proofErr w:type="gramEnd"/>
      <w:r>
        <w:t>pi.hat1/pi.hat2, 4)</w:t>
      </w:r>
    </w:p>
    <w:p w14:paraId="0810F7F9" w14:textId="3488A2FD" w:rsidR="00E51D0E" w:rsidRDefault="00A37B48" w:rsidP="00A37B48">
      <w:pPr>
        <w:pStyle w:val="R14"/>
      </w:pPr>
      <w:r>
        <w:t>[1] 0.9724</w:t>
      </w:r>
      <w:r w:rsidR="00E51D0E">
        <w:t xml:space="preserve"> </w:t>
      </w:r>
    </w:p>
    <w:p w14:paraId="0E05B2A6" w14:textId="669DD8D5" w:rsidR="00E51D0E" w:rsidRDefault="00E51D0E" w:rsidP="00BA2B2F">
      <w:pPr>
        <w:pStyle w:val="R14"/>
      </w:pPr>
      <w:r>
        <w:t>&gt; alpha</w:t>
      </w:r>
      <w:r w:rsidR="00596A70">
        <w:t xml:space="preserve"> </w:t>
      </w:r>
      <w:r>
        <w:t>&lt;-</w:t>
      </w:r>
      <w:r w:rsidR="00596A70">
        <w:t xml:space="preserve"> </w:t>
      </w:r>
      <w:r>
        <w:t>0.05</w:t>
      </w:r>
    </w:p>
    <w:p w14:paraId="0BA354B4" w14:textId="445DB745" w:rsidR="00E51D0E" w:rsidRDefault="00E51D0E" w:rsidP="00BA2B2F">
      <w:pPr>
        <w:pStyle w:val="R14"/>
      </w:pPr>
      <w:r>
        <w:t>&gt; n1</w:t>
      </w:r>
      <w:r w:rsidR="00596A70">
        <w:t xml:space="preserve"> </w:t>
      </w:r>
      <w:r>
        <w:t>&lt;-</w:t>
      </w:r>
      <w:r w:rsidR="00596A70">
        <w:t xml:space="preserve"> </w:t>
      </w:r>
      <w:proofErr w:type="gramStart"/>
      <w:r>
        <w:t>sum(</w:t>
      </w:r>
      <w:proofErr w:type="spellStart"/>
      <w:proofErr w:type="gramEnd"/>
      <w:r>
        <w:t>c.table</w:t>
      </w:r>
      <w:proofErr w:type="spellEnd"/>
      <w:r>
        <w:t>[1,])</w:t>
      </w:r>
    </w:p>
    <w:p w14:paraId="13F52FC8" w14:textId="6FCB98FA" w:rsidR="00E51D0E" w:rsidRDefault="00E51D0E" w:rsidP="00BA2B2F">
      <w:pPr>
        <w:pStyle w:val="R14"/>
      </w:pPr>
      <w:r>
        <w:t>&gt; n2</w:t>
      </w:r>
      <w:r w:rsidR="00596A70">
        <w:t xml:space="preserve"> </w:t>
      </w:r>
      <w:r>
        <w:t>&lt;-</w:t>
      </w:r>
      <w:r w:rsidR="00596A70">
        <w:t xml:space="preserve"> </w:t>
      </w:r>
      <w:proofErr w:type="gramStart"/>
      <w:r>
        <w:t>sum(</w:t>
      </w:r>
      <w:proofErr w:type="spellStart"/>
      <w:proofErr w:type="gramEnd"/>
      <w:r>
        <w:t>c.table</w:t>
      </w:r>
      <w:proofErr w:type="spellEnd"/>
      <w:r>
        <w:t>[2,])</w:t>
      </w:r>
    </w:p>
    <w:p w14:paraId="4036D832" w14:textId="77777777" w:rsidR="00E51D0E" w:rsidRDefault="00E51D0E" w:rsidP="00BA2B2F">
      <w:pPr>
        <w:pStyle w:val="R14"/>
      </w:pPr>
    </w:p>
    <w:p w14:paraId="1310D1C4" w14:textId="5387C3AB" w:rsidR="00E51D0E" w:rsidRDefault="00E51D0E" w:rsidP="00BA2B2F">
      <w:pPr>
        <w:pStyle w:val="R14"/>
      </w:pPr>
      <w:r>
        <w:t xml:space="preserve">&gt; </w:t>
      </w:r>
      <w:proofErr w:type="gramStart"/>
      <w:r>
        <w:t>ci</w:t>
      </w:r>
      <w:proofErr w:type="gramEnd"/>
      <w:r w:rsidR="00596A70">
        <w:t xml:space="preserve"> </w:t>
      </w:r>
      <w:r>
        <w:t>&lt;-</w:t>
      </w:r>
      <w:r w:rsidR="00596A70">
        <w:t xml:space="preserve"> </w:t>
      </w:r>
      <w:proofErr w:type="spellStart"/>
      <w:r>
        <w:t>exp</w:t>
      </w:r>
      <w:proofErr w:type="spellEnd"/>
      <w:r>
        <w:t xml:space="preserve">(log(pi.hat1/pi.hat2) + </w:t>
      </w:r>
      <w:proofErr w:type="spellStart"/>
      <w:r>
        <w:t>qnorm</w:t>
      </w:r>
      <w:proofErr w:type="spellEnd"/>
      <w:r>
        <w:t>(p = c(alpha/2, 1-</w:t>
      </w:r>
    </w:p>
    <w:p w14:paraId="074C150A" w14:textId="77777777" w:rsidR="00E51D0E" w:rsidRDefault="00E51D0E" w:rsidP="00BA2B2F">
      <w:pPr>
        <w:pStyle w:val="R14"/>
      </w:pPr>
      <w:r>
        <w:t xml:space="preserve">    </w:t>
      </w:r>
      <w:proofErr w:type="gramStart"/>
      <w:r>
        <w:t>alpha/</w:t>
      </w:r>
      <w:proofErr w:type="gramEnd"/>
      <w:r>
        <w:t>2)) * sqrt((1-pi.hat1)/(n1*pi.hat1) + (1-</w:t>
      </w:r>
    </w:p>
    <w:p w14:paraId="0CCFC307" w14:textId="77777777" w:rsidR="00E51D0E" w:rsidRDefault="00E51D0E" w:rsidP="00BA2B2F">
      <w:pPr>
        <w:pStyle w:val="R14"/>
      </w:pPr>
      <w:r>
        <w:t xml:space="preserve">    pi.hat2)</w:t>
      </w:r>
      <w:proofErr w:type="gramStart"/>
      <w:r>
        <w:t>/(</w:t>
      </w:r>
      <w:proofErr w:type="gramEnd"/>
      <w:r>
        <w:t>n2*pi.hat2)))</w:t>
      </w:r>
    </w:p>
    <w:p w14:paraId="1979A555" w14:textId="77777777" w:rsidR="00E51D0E" w:rsidRDefault="00E51D0E" w:rsidP="00BA2B2F">
      <w:pPr>
        <w:pStyle w:val="R14"/>
      </w:pPr>
      <w:r>
        <w:t xml:space="preserve">&gt; </w:t>
      </w:r>
      <w:proofErr w:type="gramStart"/>
      <w:r>
        <w:t>round(</w:t>
      </w:r>
      <w:proofErr w:type="gramEnd"/>
      <w:r>
        <w:t>ci, 4)</w:t>
      </w:r>
    </w:p>
    <w:p w14:paraId="6AC873C9" w14:textId="77777777" w:rsidR="00E51D0E" w:rsidRDefault="00E51D0E" w:rsidP="00BA2B2F">
      <w:pPr>
        <w:pStyle w:val="R14"/>
      </w:pPr>
      <w:r>
        <w:t>[1] 0.8827 1.0713</w:t>
      </w:r>
    </w:p>
    <w:p w14:paraId="270ED1EB" w14:textId="77777777" w:rsidR="00E51D0E" w:rsidRDefault="00E51D0E" w:rsidP="00BA2B2F">
      <w:pPr>
        <w:pStyle w:val="R14"/>
      </w:pPr>
      <w:r>
        <w:t xml:space="preserve">&gt; </w:t>
      </w:r>
      <w:proofErr w:type="gramStart"/>
      <w:r>
        <w:t>rev(</w:t>
      </w:r>
      <w:proofErr w:type="gramEnd"/>
      <w:r>
        <w:t>round(1/ci, 4))  #inverted</w:t>
      </w:r>
    </w:p>
    <w:p w14:paraId="7E97ED6C" w14:textId="77777777" w:rsidR="00E51D0E" w:rsidRPr="00E51D0E" w:rsidRDefault="00E51D0E" w:rsidP="00BA2B2F">
      <w:pPr>
        <w:pStyle w:val="R14"/>
      </w:pPr>
      <w:r>
        <w:t>[1] 0.9334 1.1329</w:t>
      </w:r>
    </w:p>
    <w:p w14:paraId="257C4C43" w14:textId="77777777" w:rsidR="00E51D0E" w:rsidRDefault="00E51D0E" w:rsidP="00E51D0E"/>
    <w:p w14:paraId="2C865BEA" w14:textId="4D50F155" w:rsidR="00C61D97" w:rsidRDefault="00E51D0E" w:rsidP="00E51D0E">
      <w:pPr>
        <w:ind w:left="720"/>
      </w:pPr>
      <w:r w:rsidRPr="00FA36D0">
        <w:rPr>
          <w:position w:val="-10"/>
          <w:sz w:val="36"/>
        </w:rPr>
        <w:object w:dxaOrig="360" w:dyaOrig="460" w14:anchorId="3B1ACD29">
          <v:shape id="_x0000_i1036" type="#_x0000_t75" style="width:18.4pt;height:23.2pt" o:ole="">
            <v:imagedata r:id="rId23" o:title=""/>
          </v:shape>
          <o:OLEObject Type="Embed" ProgID="Equation.DSMT4" ShapeID="_x0000_i1036" DrawAspect="Content" ObjectID="_1737540494" r:id="rId31"/>
        </w:object>
      </w:r>
      <w:r w:rsidR="00C61D97">
        <w:t>/</w:t>
      </w:r>
      <w:r w:rsidRPr="00FA36D0">
        <w:rPr>
          <w:position w:val="-10"/>
          <w:sz w:val="36"/>
        </w:rPr>
        <w:object w:dxaOrig="420" w:dyaOrig="460" w14:anchorId="0E3D6348">
          <v:shape id="_x0000_i1037" type="#_x0000_t75" style="width:20.8pt;height:23.2pt" o:ole="">
            <v:imagedata r:id="rId27" o:title=""/>
          </v:shape>
          <o:OLEObject Type="Embed" ProgID="Equation.DSMT4" ShapeID="_x0000_i1037" DrawAspect="Content" ObjectID="_1737540495" r:id="rId32"/>
        </w:object>
      </w:r>
      <w:r w:rsidR="00A37B48">
        <w:rPr>
          <w:sz w:val="36"/>
        </w:rPr>
        <w:t xml:space="preserve"> </w:t>
      </w:r>
      <w:r w:rsidR="00C61D97">
        <w:t xml:space="preserve">= </w:t>
      </w:r>
      <w:r w:rsidR="00C61D97" w:rsidRPr="0005171E">
        <w:rPr>
          <w:rFonts w:cs="Arial"/>
        </w:rPr>
        <w:t>0.880</w:t>
      </w:r>
      <w:r w:rsidR="00C61D97">
        <w:rPr>
          <w:rFonts w:cs="Arial"/>
        </w:rPr>
        <w:t>7/</w:t>
      </w:r>
      <w:r w:rsidR="00C61D97">
        <w:t>0.9057 = 0.9724</w:t>
      </w:r>
    </w:p>
    <w:p w14:paraId="3980F4FA" w14:textId="77777777" w:rsidR="00C61D97" w:rsidRDefault="00C61D97" w:rsidP="00C61D97">
      <w:pPr>
        <w:ind w:left="720"/>
      </w:pPr>
    </w:p>
    <w:p w14:paraId="2342F3EA" w14:textId="28C04D0E" w:rsidR="00C61D97" w:rsidRDefault="00C61D97" w:rsidP="00C61D97">
      <w:pPr>
        <w:ind w:left="720"/>
        <w:rPr>
          <w:rFonts w:cs="Arial"/>
        </w:rPr>
      </w:pPr>
      <w:r>
        <w:t xml:space="preserve">If the relative risk is </w:t>
      </w:r>
      <w:proofErr w:type="gramStart"/>
      <w:r>
        <w:t>inverted:</w:t>
      </w:r>
      <w:proofErr w:type="gramEnd"/>
      <w:r>
        <w:t xml:space="preserve"> </w:t>
      </w:r>
      <w:r w:rsidR="00E51D0E" w:rsidRPr="00FA36D0">
        <w:rPr>
          <w:position w:val="-10"/>
          <w:sz w:val="36"/>
        </w:rPr>
        <w:object w:dxaOrig="360" w:dyaOrig="460" w14:anchorId="64167C46">
          <v:shape id="_x0000_i1038" type="#_x0000_t75" style="width:18.4pt;height:23.2pt" o:ole="">
            <v:imagedata r:id="rId23" o:title=""/>
          </v:shape>
          <o:OLEObject Type="Embed" ProgID="Equation.DSMT4" ShapeID="_x0000_i1038" DrawAspect="Content" ObjectID="_1737540496" r:id="rId33"/>
        </w:object>
      </w:r>
      <w:r w:rsidR="00E51D0E">
        <w:t>/</w:t>
      </w:r>
      <w:r w:rsidR="00E51D0E" w:rsidRPr="00FA36D0">
        <w:rPr>
          <w:position w:val="-10"/>
          <w:sz w:val="36"/>
        </w:rPr>
        <w:object w:dxaOrig="420" w:dyaOrig="460" w14:anchorId="4DAA6F55">
          <v:shape id="_x0000_i1039" type="#_x0000_t75" style="width:20.8pt;height:23.2pt" o:ole="">
            <v:imagedata r:id="rId27" o:title=""/>
          </v:shape>
          <o:OLEObject Type="Embed" ProgID="Equation.DSMT4" ShapeID="_x0000_i1039" DrawAspect="Content" ObjectID="_1737540497" r:id="rId34"/>
        </w:object>
      </w:r>
      <w:r w:rsidR="00E51D0E">
        <w:rPr>
          <w:sz w:val="36"/>
        </w:rPr>
        <w:t xml:space="preserve"> </w:t>
      </w:r>
      <w:r>
        <w:t>= 0.9057/</w:t>
      </w:r>
      <w:r w:rsidRPr="0005171E">
        <w:rPr>
          <w:rFonts w:cs="Arial"/>
        </w:rPr>
        <w:t>0.880</w:t>
      </w:r>
      <w:r>
        <w:rPr>
          <w:rFonts w:cs="Arial"/>
        </w:rPr>
        <w:t xml:space="preserve">7 = </w:t>
      </w:r>
      <w:r w:rsidRPr="00C61D97">
        <w:rPr>
          <w:rFonts w:cs="Arial"/>
        </w:rPr>
        <w:t>1.028</w:t>
      </w:r>
      <w:r w:rsidR="00DE24C3">
        <w:rPr>
          <w:rFonts w:cs="Arial"/>
        </w:rPr>
        <w:t xml:space="preserve">4. </w:t>
      </w:r>
      <w:r>
        <w:rPr>
          <w:rFonts w:cs="Arial"/>
        </w:rPr>
        <w:t xml:space="preserve">Thus, a successful second free throw is </w:t>
      </w:r>
      <w:r w:rsidR="00D26A15">
        <w:rPr>
          <w:rFonts w:cs="Arial"/>
        </w:rPr>
        <w:t xml:space="preserve">estimated to be </w:t>
      </w:r>
      <w:r>
        <w:rPr>
          <w:rFonts w:cs="Arial"/>
        </w:rPr>
        <w:t>2</w:t>
      </w:r>
      <w:r w:rsidR="00E51D0E">
        <w:rPr>
          <w:rFonts w:cs="Arial"/>
        </w:rPr>
        <w:t>.</w:t>
      </w:r>
      <w:r>
        <w:rPr>
          <w:rFonts w:cs="Arial"/>
        </w:rPr>
        <w:t>84</w:t>
      </w:r>
      <w:r w:rsidR="00E51D0E">
        <w:rPr>
          <w:rFonts w:cs="Arial"/>
        </w:rPr>
        <w:t>%</w:t>
      </w:r>
      <w:r>
        <w:rPr>
          <w:rFonts w:cs="Arial"/>
        </w:rPr>
        <w:t xml:space="preserve"> times more likely to occur when the first free throw is </w:t>
      </w:r>
      <w:r w:rsidR="00A60AE5">
        <w:rPr>
          <w:rFonts w:cs="Arial"/>
        </w:rPr>
        <w:t xml:space="preserve">missed </w:t>
      </w:r>
      <w:r>
        <w:rPr>
          <w:rFonts w:cs="Arial"/>
        </w:rPr>
        <w:t>rather than</w:t>
      </w:r>
      <w:r w:rsidR="00A60AE5">
        <w:rPr>
          <w:rFonts w:cs="Arial"/>
        </w:rPr>
        <w:t xml:space="preserve"> made</w:t>
      </w:r>
      <w:r w:rsidR="00E51D0E">
        <w:rPr>
          <w:rFonts w:cs="Arial"/>
        </w:rPr>
        <w:t xml:space="preserve">. Alternatively, a successful second free throw attempt is estimated to be 1.0284 times as likely when the first free throw is missed rather than made. </w:t>
      </w:r>
    </w:p>
    <w:p w14:paraId="5A940A5C" w14:textId="77777777" w:rsidR="00E51D0E" w:rsidRDefault="00E51D0E" w:rsidP="00E51D0E">
      <w:pPr>
        <w:rPr>
          <w:rFonts w:cs="Arial"/>
        </w:rPr>
      </w:pPr>
    </w:p>
    <w:p w14:paraId="7C5E47A8" w14:textId="482843B4" w:rsidR="00827B62" w:rsidRDefault="00DE24C3" w:rsidP="00827B62">
      <w:pPr>
        <w:ind w:left="720"/>
      </w:pPr>
      <w:r>
        <w:t xml:space="preserve">With 95% confidence, </w:t>
      </w:r>
      <w:r w:rsidR="00827B62">
        <w:t xml:space="preserve">a second </w:t>
      </w:r>
      <w:r w:rsidR="00E51D0E">
        <w:rPr>
          <w:rFonts w:cs="Arial"/>
        </w:rPr>
        <w:t xml:space="preserve">free throw </w:t>
      </w:r>
      <w:r w:rsidR="00827B62">
        <w:t>success is between 0.</w:t>
      </w:r>
      <w:r w:rsidR="00282E2C">
        <w:t>9334</w:t>
      </w:r>
      <w:r w:rsidR="00827B62">
        <w:t xml:space="preserve"> and 1.</w:t>
      </w:r>
      <w:r w:rsidR="00282E2C">
        <w:t>1329</w:t>
      </w:r>
      <w:r w:rsidR="00827B62">
        <w:t xml:space="preserve"> times </w:t>
      </w:r>
      <w:r w:rsidR="00E51D0E">
        <w:t>as</w:t>
      </w:r>
      <w:r w:rsidR="00827B62">
        <w:t xml:space="preserve"> likely when the first </w:t>
      </w:r>
      <w:r w:rsidR="007A5741">
        <w:t>free throw</w:t>
      </w:r>
      <w:r w:rsidR="00827B62">
        <w:t xml:space="preserve"> is missed rather than made.  </w:t>
      </w:r>
    </w:p>
    <w:p w14:paraId="47EFE8E0" w14:textId="77777777" w:rsidR="00762EF9" w:rsidRDefault="00762EF9" w:rsidP="00827B62">
      <w:pPr>
        <w:ind w:left="720"/>
      </w:pPr>
    </w:p>
    <w:p w14:paraId="59C5A221" w14:textId="77777777" w:rsidR="00762EF9" w:rsidRDefault="00762EF9" w:rsidP="00762EF9">
      <w:pPr>
        <w:ind w:left="720"/>
      </w:pPr>
      <w:r>
        <w:rPr>
          <w:u w:val="single"/>
        </w:rPr>
        <w:t>Questions</w:t>
      </w:r>
      <w:r>
        <w:t>:</w:t>
      </w:r>
    </w:p>
    <w:p w14:paraId="0DE9B424" w14:textId="77777777" w:rsidR="00762EF9" w:rsidRDefault="00762EF9" w:rsidP="00FF5224">
      <w:pPr>
        <w:pStyle w:val="ListParagraph"/>
        <w:numPr>
          <w:ilvl w:val="0"/>
          <w:numId w:val="7"/>
        </w:numPr>
      </w:pPr>
      <w:r>
        <w:t>What else could be said here if one wanted to do a hypothesis of H</w:t>
      </w:r>
      <w:r w:rsidR="007A5741">
        <w:rPr>
          <w:vertAlign w:val="subscript"/>
        </w:rPr>
        <w:t>0</w:t>
      </w:r>
      <w:r>
        <w:t>:</w:t>
      </w:r>
      <w:r w:rsidRPr="00827B62">
        <w:t xml:space="preserve"> </w:t>
      </w:r>
      <w:r>
        <w:sym w:font="Symbol" w:char="F070"/>
      </w:r>
      <w:r w:rsidRPr="00E51D0E">
        <w:rPr>
          <w:vertAlign w:val="subscript"/>
        </w:rPr>
        <w:t>1</w:t>
      </w:r>
      <w:r>
        <w:t>/</w:t>
      </w:r>
      <w:r>
        <w:sym w:font="Symbol" w:char="F070"/>
      </w:r>
      <w:r w:rsidRPr="00E51D0E">
        <w:rPr>
          <w:vertAlign w:val="subscript"/>
        </w:rPr>
        <w:t>2</w:t>
      </w:r>
      <w:r>
        <w:t xml:space="preserve"> = 1 vs. H</w:t>
      </w:r>
      <w:r w:rsidR="007A5741">
        <w:rPr>
          <w:vertAlign w:val="subscript"/>
        </w:rPr>
        <w:t>a</w:t>
      </w:r>
      <w:r>
        <w:t>:</w:t>
      </w:r>
      <w:r w:rsidRPr="00827B62">
        <w:t xml:space="preserve"> </w:t>
      </w:r>
      <w:r>
        <w:sym w:font="Symbol" w:char="F070"/>
      </w:r>
      <w:r w:rsidRPr="00E51D0E">
        <w:rPr>
          <w:vertAlign w:val="subscript"/>
        </w:rPr>
        <w:t>1</w:t>
      </w:r>
      <w:r>
        <w:t>/</w:t>
      </w:r>
      <w:r>
        <w:sym w:font="Symbol" w:char="F070"/>
      </w:r>
      <w:r w:rsidRPr="00E51D0E">
        <w:rPr>
          <w:vertAlign w:val="subscript"/>
        </w:rPr>
        <w:t>2</w:t>
      </w:r>
      <w:r>
        <w:t xml:space="preserve"> ≠ 1.</w:t>
      </w:r>
    </w:p>
    <w:p w14:paraId="59B08EFC" w14:textId="77777777" w:rsidR="00762EF9" w:rsidRDefault="00762EF9" w:rsidP="00FF5224">
      <w:pPr>
        <w:pStyle w:val="ListParagraph"/>
        <w:numPr>
          <w:ilvl w:val="0"/>
          <w:numId w:val="7"/>
        </w:numPr>
      </w:pPr>
      <w:r>
        <w:t xml:space="preserve">What if the interval was 2 &lt; </w:t>
      </w:r>
      <w:r>
        <w:sym w:font="Symbol" w:char="F070"/>
      </w:r>
      <w:r w:rsidRPr="00E51D0E">
        <w:rPr>
          <w:vertAlign w:val="subscript"/>
        </w:rPr>
        <w:t>1</w:t>
      </w:r>
      <w:r>
        <w:t>/</w:t>
      </w:r>
      <w:r>
        <w:sym w:font="Symbol" w:char="F070"/>
      </w:r>
      <w:r w:rsidRPr="00E51D0E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&lt; 4?</w:t>
      </w:r>
    </w:p>
    <w:p w14:paraId="656A4571" w14:textId="77777777" w:rsidR="00762EF9" w:rsidRDefault="00762EF9" w:rsidP="00827B62">
      <w:pPr>
        <w:ind w:left="720"/>
      </w:pPr>
    </w:p>
    <w:p w14:paraId="38F6EF78" w14:textId="18201786" w:rsidR="00762EF9" w:rsidRDefault="00762EF9" w:rsidP="00827B62">
      <w:pPr>
        <w:ind w:left="720"/>
      </w:pPr>
      <w:r>
        <w:t xml:space="preserve">Perhaps it may be </w:t>
      </w:r>
      <w:r w:rsidR="00216972">
        <w:t>more of interest for this example</w:t>
      </w:r>
      <w:r>
        <w:t xml:space="preserve"> to examine a relative risk with respect to a missed second free throw attempt:</w:t>
      </w:r>
    </w:p>
    <w:p w14:paraId="744DAC40" w14:textId="77777777" w:rsidR="00762EF9" w:rsidRDefault="00762EF9" w:rsidP="00827B62">
      <w:pPr>
        <w:ind w:left="720"/>
      </w:pPr>
    </w:p>
    <w:p w14:paraId="62D61566" w14:textId="77777777" w:rsidR="00762EF9" w:rsidRDefault="00762EF9" w:rsidP="00BA2B2F">
      <w:pPr>
        <w:pStyle w:val="R14"/>
      </w:pPr>
      <w:r>
        <w:t>&gt; (1-pi.hat1)</w:t>
      </w:r>
      <w:proofErr w:type="gramStart"/>
      <w:r>
        <w:t>/(</w:t>
      </w:r>
      <w:proofErr w:type="gramEnd"/>
      <w:r>
        <w:t>1-pi.hat2)</w:t>
      </w:r>
    </w:p>
    <w:p w14:paraId="49FFD786" w14:textId="77777777" w:rsidR="00762EF9" w:rsidRDefault="00762EF9" w:rsidP="00BA2B2F">
      <w:pPr>
        <w:pStyle w:val="R14"/>
      </w:pPr>
      <w:r>
        <w:t>[1] 1.264561</w:t>
      </w:r>
    </w:p>
    <w:p w14:paraId="76FC17FA" w14:textId="77777777" w:rsidR="00762EF9" w:rsidRDefault="00762EF9" w:rsidP="00BA2B2F">
      <w:pPr>
        <w:pStyle w:val="R14"/>
      </w:pPr>
      <w:r>
        <w:t xml:space="preserve">&gt; 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 xml:space="preserve">log((1-pi.hat1)/(1-pi.hat2)) + </w:t>
      </w:r>
      <w:proofErr w:type="spellStart"/>
      <w:r>
        <w:t>qnorm</w:t>
      </w:r>
      <w:proofErr w:type="spellEnd"/>
      <w:r>
        <w:t xml:space="preserve">(p = c(alpha/2, </w:t>
      </w:r>
    </w:p>
    <w:p w14:paraId="4030CC07" w14:textId="4BA8F40D" w:rsidR="00762EF9" w:rsidRDefault="00762EF9" w:rsidP="00BA2B2F">
      <w:pPr>
        <w:pStyle w:val="R14"/>
      </w:pPr>
      <w:r>
        <w:t xml:space="preserve">    1-alpha/2)) * </w:t>
      </w:r>
      <w:proofErr w:type="gramStart"/>
      <w:r>
        <w:t>sqrt(</w:t>
      </w:r>
      <w:proofErr w:type="gramEnd"/>
      <w:r>
        <w:t xml:space="preserve">(pi.hat1)/(n1*(1-pi.hat1)) + </w:t>
      </w:r>
    </w:p>
    <w:p w14:paraId="2B100C46" w14:textId="77777777" w:rsidR="00762EF9" w:rsidRDefault="00762EF9" w:rsidP="00BA2B2F">
      <w:pPr>
        <w:pStyle w:val="R14"/>
      </w:pPr>
      <w:r>
        <w:t xml:space="preserve">    (pi.hat2)</w:t>
      </w:r>
      <w:proofErr w:type="gramStart"/>
      <w:r>
        <w:t>/(</w:t>
      </w:r>
      <w:proofErr w:type="gramEnd"/>
      <w:r>
        <w:t>n2*(1-pi.hat2))))</w:t>
      </w:r>
    </w:p>
    <w:p w14:paraId="21B3AA34" w14:textId="77777777" w:rsidR="00762EF9" w:rsidRDefault="00762EF9" w:rsidP="00BA2B2F">
      <w:pPr>
        <w:pStyle w:val="R14"/>
      </w:pPr>
      <w:r>
        <w:t>[1] 0.5183628 3.0849352</w:t>
      </w:r>
    </w:p>
    <w:p w14:paraId="04955F64" w14:textId="77777777" w:rsidR="00E51D0E" w:rsidRDefault="00E51D0E" w:rsidP="00E51D0E"/>
    <w:p w14:paraId="71793247" w14:textId="3A4DF845" w:rsidR="00762EF9" w:rsidRDefault="00762EF9" w:rsidP="00762EF9">
      <w:pPr>
        <w:ind w:left="720"/>
      </w:pPr>
      <w:r>
        <w:t xml:space="preserve">A missed second free throw is estimated to be 26.5% times more likely </w:t>
      </w:r>
      <w:r w:rsidR="00DE24C3">
        <w:t xml:space="preserve">to occur </w:t>
      </w:r>
      <w:r>
        <w:t xml:space="preserve">when the first free throw is made than when it is missed. While this may sound to be </w:t>
      </w:r>
      <w:r>
        <w:lastRenderedPageBreak/>
        <w:t xml:space="preserve">an important finding, notice the confidence interval contains 1. </w:t>
      </w:r>
    </w:p>
    <w:p w14:paraId="129BCD74" w14:textId="3D014698" w:rsidR="002E2908" w:rsidRDefault="002E2908" w:rsidP="00762EF9">
      <w:pPr>
        <w:ind w:left="720"/>
      </w:pPr>
    </w:p>
    <w:p w14:paraId="7E25A850" w14:textId="1A63C762" w:rsidR="002E2908" w:rsidRDefault="002E2908" w:rsidP="00762EF9">
      <w:pPr>
        <w:ind w:left="720"/>
      </w:pPr>
    </w:p>
    <w:p w14:paraId="42C522C9" w14:textId="77777777" w:rsidR="007A3B0C" w:rsidRDefault="007A3B0C" w:rsidP="00762EF9">
      <w:pPr>
        <w:ind w:left="720"/>
        <w:rPr>
          <w:rFonts w:cs="Arial"/>
        </w:rPr>
      </w:pPr>
      <w:r>
        <w:rPr>
          <w:rFonts w:cs="Arial"/>
        </w:rPr>
        <w:t xml:space="preserve">Other confidence intervals have been proposed. In particular a score interval can be calculated using the </w:t>
      </w:r>
      <w:proofErr w:type="spellStart"/>
      <w:proofErr w:type="gramStart"/>
      <w:r w:rsidRPr="007A3B0C">
        <w:rPr>
          <w:rFonts w:ascii="Courier New" w:hAnsi="Courier New" w:cs="Courier New"/>
        </w:rPr>
        <w:t>riskscoreci</w:t>
      </w:r>
      <w:proofErr w:type="spellEnd"/>
      <w:r w:rsidRPr="007A3B0C">
        <w:rPr>
          <w:rFonts w:ascii="Courier New" w:hAnsi="Courier New" w:cs="Courier New"/>
        </w:rPr>
        <w:t>(</w:t>
      </w:r>
      <w:proofErr w:type="gramEnd"/>
      <w:r w:rsidRPr="007A3B0C">
        <w:rPr>
          <w:rFonts w:ascii="Courier New" w:hAnsi="Courier New" w:cs="Courier New"/>
        </w:rPr>
        <w:t>)</w:t>
      </w:r>
      <w:r>
        <w:rPr>
          <w:rFonts w:cs="Arial"/>
        </w:rPr>
        <w:t xml:space="preserve"> function of the </w:t>
      </w:r>
      <w:proofErr w:type="spellStart"/>
      <w:r w:rsidRPr="007A3B0C">
        <w:rPr>
          <w:rFonts w:ascii="Courier New" w:hAnsi="Courier New" w:cs="Courier New"/>
        </w:rPr>
        <w:t>PropCIs</w:t>
      </w:r>
      <w:proofErr w:type="spellEnd"/>
      <w:r>
        <w:rPr>
          <w:rFonts w:cs="Arial"/>
        </w:rPr>
        <w:t xml:space="preserve"> package.</w:t>
      </w:r>
    </w:p>
    <w:p w14:paraId="122FEBC3" w14:textId="6EBFFCC7" w:rsidR="00774CD1" w:rsidRDefault="00774CD1">
      <w:pPr>
        <w:rPr>
          <w:b/>
        </w:rPr>
      </w:pPr>
    </w:p>
    <w:sectPr w:rsidR="00774CD1" w:rsidSect="00AC1478">
      <w:headerReference w:type="even" r:id="rId35"/>
      <w:headerReference w:type="default" r:id="rId36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34F0" w14:textId="77777777" w:rsidR="005E7172" w:rsidRDefault="005E7172">
      <w:r>
        <w:separator/>
      </w:r>
    </w:p>
  </w:endnote>
  <w:endnote w:type="continuationSeparator" w:id="0">
    <w:p w14:paraId="566B7AC7" w14:textId="77777777" w:rsidR="005E7172" w:rsidRDefault="005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7B3D" w14:textId="77777777" w:rsidR="005E7172" w:rsidRDefault="005E7172">
      <w:r>
        <w:separator/>
      </w:r>
    </w:p>
  </w:footnote>
  <w:footnote w:type="continuationSeparator" w:id="0">
    <w:p w14:paraId="03869B28" w14:textId="77777777" w:rsidR="005E7172" w:rsidRDefault="005E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86F4" w14:textId="77777777" w:rsidR="0049012F" w:rsidRDefault="0049012F" w:rsidP="007713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75</w:t>
    </w:r>
    <w:r>
      <w:rPr>
        <w:rStyle w:val="PageNumber"/>
      </w:rPr>
      <w:fldChar w:fldCharType="end"/>
    </w:r>
  </w:p>
  <w:p w14:paraId="304CE8FA" w14:textId="77777777" w:rsidR="0049012F" w:rsidRDefault="0049012F" w:rsidP="007713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55C5" w14:textId="7B3E68FD" w:rsidR="0049012F" w:rsidRPr="00FA00CD" w:rsidRDefault="0049012F" w:rsidP="007713DF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FA00CD">
      <w:rPr>
        <w:rStyle w:val="PageNumber"/>
        <w:sz w:val="32"/>
        <w:szCs w:val="32"/>
      </w:rPr>
      <w:fldChar w:fldCharType="begin"/>
    </w:r>
    <w:r w:rsidRPr="00FA00CD">
      <w:rPr>
        <w:rStyle w:val="PageNumber"/>
        <w:sz w:val="32"/>
        <w:szCs w:val="32"/>
      </w:rPr>
      <w:instrText xml:space="preserve">PAGE  </w:instrText>
    </w:r>
    <w:r w:rsidRPr="00FA00CD">
      <w:rPr>
        <w:rStyle w:val="PageNumber"/>
        <w:sz w:val="32"/>
        <w:szCs w:val="32"/>
      </w:rPr>
      <w:fldChar w:fldCharType="separate"/>
    </w:r>
    <w:r w:rsidR="00EE2F31">
      <w:rPr>
        <w:rStyle w:val="PageNumber"/>
        <w:noProof/>
        <w:sz w:val="32"/>
        <w:szCs w:val="32"/>
      </w:rPr>
      <w:t>9</w:t>
    </w:r>
    <w:r w:rsidRPr="00FA00CD">
      <w:rPr>
        <w:rStyle w:val="PageNumber"/>
        <w:sz w:val="32"/>
        <w:szCs w:val="32"/>
      </w:rPr>
      <w:fldChar w:fldCharType="end"/>
    </w:r>
  </w:p>
  <w:p w14:paraId="49312D73" w14:textId="77777777" w:rsidR="0049012F" w:rsidRDefault="0049012F" w:rsidP="007713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86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1880ABC"/>
    <w:multiLevelType w:val="hybridMultilevel"/>
    <w:tmpl w:val="48D2EF2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B621A"/>
    <w:multiLevelType w:val="hybridMultilevel"/>
    <w:tmpl w:val="3E049D2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0218F"/>
    <w:multiLevelType w:val="multilevel"/>
    <w:tmpl w:val="65E6A5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0154E59"/>
    <w:multiLevelType w:val="hybridMultilevel"/>
    <w:tmpl w:val="10BC5B24"/>
    <w:lvl w:ilvl="0" w:tplc="70A4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87CF5"/>
    <w:multiLevelType w:val="hybridMultilevel"/>
    <w:tmpl w:val="1234D6FE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6108B"/>
    <w:multiLevelType w:val="hybridMultilevel"/>
    <w:tmpl w:val="2730B9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4959DD"/>
    <w:multiLevelType w:val="hybridMultilevel"/>
    <w:tmpl w:val="E0D8398E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6D6D95"/>
    <w:multiLevelType w:val="hybridMultilevel"/>
    <w:tmpl w:val="9C062D62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BB4B25"/>
    <w:multiLevelType w:val="multilevel"/>
    <w:tmpl w:val="D1121AFA"/>
    <w:lvl w:ilvl="0">
      <w:start w:val="2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10C1F75"/>
    <w:multiLevelType w:val="hybridMultilevel"/>
    <w:tmpl w:val="91C0098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E25357"/>
    <w:multiLevelType w:val="hybridMultilevel"/>
    <w:tmpl w:val="ACB6649C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1"/>
    <w:rsid w:val="00004226"/>
    <w:rsid w:val="00005C1F"/>
    <w:rsid w:val="00011602"/>
    <w:rsid w:val="00012415"/>
    <w:rsid w:val="00012705"/>
    <w:rsid w:val="00015FD1"/>
    <w:rsid w:val="00017166"/>
    <w:rsid w:val="00021528"/>
    <w:rsid w:val="000217C0"/>
    <w:rsid w:val="00022502"/>
    <w:rsid w:val="00023540"/>
    <w:rsid w:val="000275D3"/>
    <w:rsid w:val="00027D08"/>
    <w:rsid w:val="000307CD"/>
    <w:rsid w:val="0003551B"/>
    <w:rsid w:val="00035E27"/>
    <w:rsid w:val="000407C7"/>
    <w:rsid w:val="00040DC0"/>
    <w:rsid w:val="000415A9"/>
    <w:rsid w:val="00044182"/>
    <w:rsid w:val="00045F3C"/>
    <w:rsid w:val="00046022"/>
    <w:rsid w:val="00046788"/>
    <w:rsid w:val="00046F90"/>
    <w:rsid w:val="00047300"/>
    <w:rsid w:val="00047A78"/>
    <w:rsid w:val="0005171E"/>
    <w:rsid w:val="0005494D"/>
    <w:rsid w:val="00055ED1"/>
    <w:rsid w:val="0006071F"/>
    <w:rsid w:val="00060FAE"/>
    <w:rsid w:val="00063A89"/>
    <w:rsid w:val="00065C1B"/>
    <w:rsid w:val="00067E98"/>
    <w:rsid w:val="000703C2"/>
    <w:rsid w:val="0007377A"/>
    <w:rsid w:val="0007555F"/>
    <w:rsid w:val="0007650F"/>
    <w:rsid w:val="000779CF"/>
    <w:rsid w:val="00077C27"/>
    <w:rsid w:val="00081064"/>
    <w:rsid w:val="00082376"/>
    <w:rsid w:val="00084B2C"/>
    <w:rsid w:val="00090632"/>
    <w:rsid w:val="00090A6B"/>
    <w:rsid w:val="00091C60"/>
    <w:rsid w:val="000936E6"/>
    <w:rsid w:val="00095B04"/>
    <w:rsid w:val="00096336"/>
    <w:rsid w:val="000968AC"/>
    <w:rsid w:val="000972DE"/>
    <w:rsid w:val="000A47B7"/>
    <w:rsid w:val="000B06FB"/>
    <w:rsid w:val="000B1900"/>
    <w:rsid w:val="000B3C05"/>
    <w:rsid w:val="000B73A9"/>
    <w:rsid w:val="000C0866"/>
    <w:rsid w:val="000C4B6B"/>
    <w:rsid w:val="000C5462"/>
    <w:rsid w:val="000D144B"/>
    <w:rsid w:val="000D1E35"/>
    <w:rsid w:val="000D1F0C"/>
    <w:rsid w:val="000D430A"/>
    <w:rsid w:val="000D4BA0"/>
    <w:rsid w:val="000D5F81"/>
    <w:rsid w:val="000D7948"/>
    <w:rsid w:val="000E0EC0"/>
    <w:rsid w:val="000E148A"/>
    <w:rsid w:val="000E3561"/>
    <w:rsid w:val="000F143A"/>
    <w:rsid w:val="000F572A"/>
    <w:rsid w:val="00101FEB"/>
    <w:rsid w:val="0010322E"/>
    <w:rsid w:val="00112286"/>
    <w:rsid w:val="00114234"/>
    <w:rsid w:val="00114E88"/>
    <w:rsid w:val="00122A09"/>
    <w:rsid w:val="00123AD7"/>
    <w:rsid w:val="0012452E"/>
    <w:rsid w:val="001323BB"/>
    <w:rsid w:val="0013269D"/>
    <w:rsid w:val="001347F1"/>
    <w:rsid w:val="00137E6B"/>
    <w:rsid w:val="001412A8"/>
    <w:rsid w:val="00143528"/>
    <w:rsid w:val="00145A26"/>
    <w:rsid w:val="00146050"/>
    <w:rsid w:val="00147497"/>
    <w:rsid w:val="00147A80"/>
    <w:rsid w:val="00151749"/>
    <w:rsid w:val="00151A9C"/>
    <w:rsid w:val="00152E81"/>
    <w:rsid w:val="001607DC"/>
    <w:rsid w:val="0016260A"/>
    <w:rsid w:val="001640C7"/>
    <w:rsid w:val="00165596"/>
    <w:rsid w:val="00166DBF"/>
    <w:rsid w:val="00171D5B"/>
    <w:rsid w:val="00172BF4"/>
    <w:rsid w:val="00173910"/>
    <w:rsid w:val="00175A22"/>
    <w:rsid w:val="00177D97"/>
    <w:rsid w:val="00182738"/>
    <w:rsid w:val="00184276"/>
    <w:rsid w:val="00187FF7"/>
    <w:rsid w:val="00196AE7"/>
    <w:rsid w:val="00197D69"/>
    <w:rsid w:val="001A41F6"/>
    <w:rsid w:val="001A50B2"/>
    <w:rsid w:val="001B0EF8"/>
    <w:rsid w:val="001B1A1E"/>
    <w:rsid w:val="001B2EF8"/>
    <w:rsid w:val="001B43F7"/>
    <w:rsid w:val="001B5179"/>
    <w:rsid w:val="001B607A"/>
    <w:rsid w:val="001B6296"/>
    <w:rsid w:val="001B636C"/>
    <w:rsid w:val="001C1EB7"/>
    <w:rsid w:val="001C4325"/>
    <w:rsid w:val="001C5A04"/>
    <w:rsid w:val="001C70E3"/>
    <w:rsid w:val="001D29CE"/>
    <w:rsid w:val="001D371F"/>
    <w:rsid w:val="001D621E"/>
    <w:rsid w:val="001D7651"/>
    <w:rsid w:val="001E1CDF"/>
    <w:rsid w:val="001E6A66"/>
    <w:rsid w:val="001E6FD4"/>
    <w:rsid w:val="001F0761"/>
    <w:rsid w:val="001F43C2"/>
    <w:rsid w:val="001F55D4"/>
    <w:rsid w:val="001F6EBA"/>
    <w:rsid w:val="002068D7"/>
    <w:rsid w:val="00210D2A"/>
    <w:rsid w:val="00210DA6"/>
    <w:rsid w:val="0021242E"/>
    <w:rsid w:val="002136A8"/>
    <w:rsid w:val="00216972"/>
    <w:rsid w:val="002220D7"/>
    <w:rsid w:val="002226AB"/>
    <w:rsid w:val="002236A0"/>
    <w:rsid w:val="00225035"/>
    <w:rsid w:val="0022505E"/>
    <w:rsid w:val="002268AB"/>
    <w:rsid w:val="002277D8"/>
    <w:rsid w:val="0023188A"/>
    <w:rsid w:val="00233C41"/>
    <w:rsid w:val="00234942"/>
    <w:rsid w:val="00237499"/>
    <w:rsid w:val="002376B0"/>
    <w:rsid w:val="002410E2"/>
    <w:rsid w:val="00241E41"/>
    <w:rsid w:val="00243202"/>
    <w:rsid w:val="0024427E"/>
    <w:rsid w:val="0024594A"/>
    <w:rsid w:val="002471AF"/>
    <w:rsid w:val="00250D8F"/>
    <w:rsid w:val="00254607"/>
    <w:rsid w:val="002638F4"/>
    <w:rsid w:val="002662ED"/>
    <w:rsid w:val="0027064F"/>
    <w:rsid w:val="00273DC3"/>
    <w:rsid w:val="00273FCA"/>
    <w:rsid w:val="00275247"/>
    <w:rsid w:val="002754A6"/>
    <w:rsid w:val="00281E1B"/>
    <w:rsid w:val="0028259A"/>
    <w:rsid w:val="00282E2C"/>
    <w:rsid w:val="00283368"/>
    <w:rsid w:val="00286402"/>
    <w:rsid w:val="002904D1"/>
    <w:rsid w:val="00290B1C"/>
    <w:rsid w:val="00292316"/>
    <w:rsid w:val="00292CB7"/>
    <w:rsid w:val="00295AB9"/>
    <w:rsid w:val="002A0215"/>
    <w:rsid w:val="002A0D21"/>
    <w:rsid w:val="002A1BEA"/>
    <w:rsid w:val="002A2DAC"/>
    <w:rsid w:val="002A4D0A"/>
    <w:rsid w:val="002A7F3C"/>
    <w:rsid w:val="002B32BA"/>
    <w:rsid w:val="002C2DB9"/>
    <w:rsid w:val="002C736C"/>
    <w:rsid w:val="002D7791"/>
    <w:rsid w:val="002E2908"/>
    <w:rsid w:val="002E5533"/>
    <w:rsid w:val="002E5E8F"/>
    <w:rsid w:val="002E6CB2"/>
    <w:rsid w:val="002E7E02"/>
    <w:rsid w:val="002F2BD7"/>
    <w:rsid w:val="002F55D0"/>
    <w:rsid w:val="002F63D9"/>
    <w:rsid w:val="0030140A"/>
    <w:rsid w:val="00302BA1"/>
    <w:rsid w:val="003033EC"/>
    <w:rsid w:val="00303552"/>
    <w:rsid w:val="0030384B"/>
    <w:rsid w:val="00311273"/>
    <w:rsid w:val="003112E0"/>
    <w:rsid w:val="00312DB5"/>
    <w:rsid w:val="0031530E"/>
    <w:rsid w:val="00315509"/>
    <w:rsid w:val="00315E0F"/>
    <w:rsid w:val="00325046"/>
    <w:rsid w:val="00325DD7"/>
    <w:rsid w:val="00326051"/>
    <w:rsid w:val="00330931"/>
    <w:rsid w:val="003343C0"/>
    <w:rsid w:val="00342166"/>
    <w:rsid w:val="00343D20"/>
    <w:rsid w:val="00344BE6"/>
    <w:rsid w:val="003455D9"/>
    <w:rsid w:val="0034648E"/>
    <w:rsid w:val="00351081"/>
    <w:rsid w:val="00352C08"/>
    <w:rsid w:val="00354442"/>
    <w:rsid w:val="00360AF2"/>
    <w:rsid w:val="003615E4"/>
    <w:rsid w:val="0036699B"/>
    <w:rsid w:val="0037175F"/>
    <w:rsid w:val="00374F05"/>
    <w:rsid w:val="003778EA"/>
    <w:rsid w:val="00380AF8"/>
    <w:rsid w:val="003813FE"/>
    <w:rsid w:val="0038207D"/>
    <w:rsid w:val="0038740F"/>
    <w:rsid w:val="003920CC"/>
    <w:rsid w:val="00393E3F"/>
    <w:rsid w:val="00394750"/>
    <w:rsid w:val="0039677E"/>
    <w:rsid w:val="00397A24"/>
    <w:rsid w:val="003A131F"/>
    <w:rsid w:val="003A240D"/>
    <w:rsid w:val="003A3207"/>
    <w:rsid w:val="003A3F49"/>
    <w:rsid w:val="003A47A5"/>
    <w:rsid w:val="003A6831"/>
    <w:rsid w:val="003B32BB"/>
    <w:rsid w:val="003B72A1"/>
    <w:rsid w:val="003B7C74"/>
    <w:rsid w:val="003C10FC"/>
    <w:rsid w:val="003C1B2E"/>
    <w:rsid w:val="003C52FC"/>
    <w:rsid w:val="003C5BDD"/>
    <w:rsid w:val="003C5EE6"/>
    <w:rsid w:val="003C7474"/>
    <w:rsid w:val="003D03EB"/>
    <w:rsid w:val="003D27BC"/>
    <w:rsid w:val="003E1ED3"/>
    <w:rsid w:val="003E2BA0"/>
    <w:rsid w:val="003E55E3"/>
    <w:rsid w:val="003F0875"/>
    <w:rsid w:val="003F22F5"/>
    <w:rsid w:val="003F42BE"/>
    <w:rsid w:val="003F4ABF"/>
    <w:rsid w:val="003F6585"/>
    <w:rsid w:val="003F66F6"/>
    <w:rsid w:val="00401EEC"/>
    <w:rsid w:val="00403F42"/>
    <w:rsid w:val="004057C0"/>
    <w:rsid w:val="004070BE"/>
    <w:rsid w:val="00410C8B"/>
    <w:rsid w:val="00413813"/>
    <w:rsid w:val="00414C36"/>
    <w:rsid w:val="00415C4A"/>
    <w:rsid w:val="004162DB"/>
    <w:rsid w:val="0041713C"/>
    <w:rsid w:val="00422D33"/>
    <w:rsid w:val="00425624"/>
    <w:rsid w:val="00426D99"/>
    <w:rsid w:val="00431E69"/>
    <w:rsid w:val="004468E9"/>
    <w:rsid w:val="004506E7"/>
    <w:rsid w:val="00451539"/>
    <w:rsid w:val="0045229D"/>
    <w:rsid w:val="00453337"/>
    <w:rsid w:val="004536A8"/>
    <w:rsid w:val="00455C65"/>
    <w:rsid w:val="00456C85"/>
    <w:rsid w:val="004607E8"/>
    <w:rsid w:val="00460A35"/>
    <w:rsid w:val="00462645"/>
    <w:rsid w:val="004638BA"/>
    <w:rsid w:val="004653BF"/>
    <w:rsid w:val="00472115"/>
    <w:rsid w:val="00473927"/>
    <w:rsid w:val="004740CE"/>
    <w:rsid w:val="00474723"/>
    <w:rsid w:val="00481E8E"/>
    <w:rsid w:val="004855BD"/>
    <w:rsid w:val="00487077"/>
    <w:rsid w:val="0049012F"/>
    <w:rsid w:val="00491EA9"/>
    <w:rsid w:val="00494892"/>
    <w:rsid w:val="00495100"/>
    <w:rsid w:val="004A315F"/>
    <w:rsid w:val="004A3CAC"/>
    <w:rsid w:val="004A4C89"/>
    <w:rsid w:val="004A58B7"/>
    <w:rsid w:val="004B3AE2"/>
    <w:rsid w:val="004B4734"/>
    <w:rsid w:val="004B69AA"/>
    <w:rsid w:val="004C5A61"/>
    <w:rsid w:val="004C77E1"/>
    <w:rsid w:val="004D31CE"/>
    <w:rsid w:val="004E10EB"/>
    <w:rsid w:val="004E3899"/>
    <w:rsid w:val="004E561B"/>
    <w:rsid w:val="004E63F3"/>
    <w:rsid w:val="004F00E0"/>
    <w:rsid w:val="004F4815"/>
    <w:rsid w:val="005014AF"/>
    <w:rsid w:val="005018BC"/>
    <w:rsid w:val="00502C7F"/>
    <w:rsid w:val="00503A99"/>
    <w:rsid w:val="00511439"/>
    <w:rsid w:val="00512AE6"/>
    <w:rsid w:val="00513809"/>
    <w:rsid w:val="00521DA8"/>
    <w:rsid w:val="00524AC1"/>
    <w:rsid w:val="00530A1D"/>
    <w:rsid w:val="00535089"/>
    <w:rsid w:val="00535D10"/>
    <w:rsid w:val="0053691F"/>
    <w:rsid w:val="00537103"/>
    <w:rsid w:val="00547D1F"/>
    <w:rsid w:val="00551F3A"/>
    <w:rsid w:val="005539E9"/>
    <w:rsid w:val="00554673"/>
    <w:rsid w:val="00555616"/>
    <w:rsid w:val="00555D47"/>
    <w:rsid w:val="0056205F"/>
    <w:rsid w:val="00565B64"/>
    <w:rsid w:val="00566CA1"/>
    <w:rsid w:val="00567530"/>
    <w:rsid w:val="00572867"/>
    <w:rsid w:val="00572F07"/>
    <w:rsid w:val="005745D2"/>
    <w:rsid w:val="00576258"/>
    <w:rsid w:val="005776A4"/>
    <w:rsid w:val="00581DF1"/>
    <w:rsid w:val="0058437C"/>
    <w:rsid w:val="00585C63"/>
    <w:rsid w:val="0058648B"/>
    <w:rsid w:val="005871FC"/>
    <w:rsid w:val="00587F15"/>
    <w:rsid w:val="00590E3D"/>
    <w:rsid w:val="00596355"/>
    <w:rsid w:val="00596A70"/>
    <w:rsid w:val="005A0793"/>
    <w:rsid w:val="005A2467"/>
    <w:rsid w:val="005A3072"/>
    <w:rsid w:val="005A5A26"/>
    <w:rsid w:val="005B2A2E"/>
    <w:rsid w:val="005B34CD"/>
    <w:rsid w:val="005B47E9"/>
    <w:rsid w:val="005B7A31"/>
    <w:rsid w:val="005C182A"/>
    <w:rsid w:val="005C438F"/>
    <w:rsid w:val="005C641A"/>
    <w:rsid w:val="005C7924"/>
    <w:rsid w:val="005D0BA2"/>
    <w:rsid w:val="005D1941"/>
    <w:rsid w:val="005D486D"/>
    <w:rsid w:val="005E1EF4"/>
    <w:rsid w:val="005E422D"/>
    <w:rsid w:val="005E7172"/>
    <w:rsid w:val="00600540"/>
    <w:rsid w:val="006104CC"/>
    <w:rsid w:val="0061064D"/>
    <w:rsid w:val="00612D60"/>
    <w:rsid w:val="006141FE"/>
    <w:rsid w:val="006146C3"/>
    <w:rsid w:val="0061576C"/>
    <w:rsid w:val="00625522"/>
    <w:rsid w:val="0062563A"/>
    <w:rsid w:val="00636404"/>
    <w:rsid w:val="00636D39"/>
    <w:rsid w:val="00642B37"/>
    <w:rsid w:val="006438C8"/>
    <w:rsid w:val="006456BA"/>
    <w:rsid w:val="00661E5A"/>
    <w:rsid w:val="006658B3"/>
    <w:rsid w:val="006674D2"/>
    <w:rsid w:val="0066781E"/>
    <w:rsid w:val="006716EC"/>
    <w:rsid w:val="006719CD"/>
    <w:rsid w:val="00673761"/>
    <w:rsid w:val="00690CE0"/>
    <w:rsid w:val="00691308"/>
    <w:rsid w:val="00691DF5"/>
    <w:rsid w:val="00691E8B"/>
    <w:rsid w:val="006926D3"/>
    <w:rsid w:val="00696606"/>
    <w:rsid w:val="0069732D"/>
    <w:rsid w:val="00697AB9"/>
    <w:rsid w:val="00697F6B"/>
    <w:rsid w:val="006A46CB"/>
    <w:rsid w:val="006B201E"/>
    <w:rsid w:val="006B6CF6"/>
    <w:rsid w:val="006C636D"/>
    <w:rsid w:val="006D09FF"/>
    <w:rsid w:val="006D727F"/>
    <w:rsid w:val="006F3652"/>
    <w:rsid w:val="006F38AC"/>
    <w:rsid w:val="006F65BD"/>
    <w:rsid w:val="006F6723"/>
    <w:rsid w:val="006F6E6C"/>
    <w:rsid w:val="007003CA"/>
    <w:rsid w:val="00700E17"/>
    <w:rsid w:val="00701762"/>
    <w:rsid w:val="00702DC6"/>
    <w:rsid w:val="007064EA"/>
    <w:rsid w:val="00715EE9"/>
    <w:rsid w:val="00716C22"/>
    <w:rsid w:val="007171E9"/>
    <w:rsid w:val="00717E32"/>
    <w:rsid w:val="00724694"/>
    <w:rsid w:val="007250F0"/>
    <w:rsid w:val="007259CF"/>
    <w:rsid w:val="00733979"/>
    <w:rsid w:val="007371ED"/>
    <w:rsid w:val="00740EE1"/>
    <w:rsid w:val="0074276D"/>
    <w:rsid w:val="0074345A"/>
    <w:rsid w:val="007439E2"/>
    <w:rsid w:val="007512B3"/>
    <w:rsid w:val="00754514"/>
    <w:rsid w:val="0075551D"/>
    <w:rsid w:val="00761F84"/>
    <w:rsid w:val="00762A18"/>
    <w:rsid w:val="00762EF9"/>
    <w:rsid w:val="00765B56"/>
    <w:rsid w:val="00766BA9"/>
    <w:rsid w:val="00770713"/>
    <w:rsid w:val="007713DF"/>
    <w:rsid w:val="00774CD1"/>
    <w:rsid w:val="0077567D"/>
    <w:rsid w:val="00780218"/>
    <w:rsid w:val="00780338"/>
    <w:rsid w:val="00780825"/>
    <w:rsid w:val="007812CD"/>
    <w:rsid w:val="00781EB8"/>
    <w:rsid w:val="007913D0"/>
    <w:rsid w:val="00792CD5"/>
    <w:rsid w:val="0079382A"/>
    <w:rsid w:val="00794FBB"/>
    <w:rsid w:val="007968FB"/>
    <w:rsid w:val="007A2EB5"/>
    <w:rsid w:val="007A3B0C"/>
    <w:rsid w:val="007A3E78"/>
    <w:rsid w:val="007A5741"/>
    <w:rsid w:val="007A6E9A"/>
    <w:rsid w:val="007B049A"/>
    <w:rsid w:val="007B1870"/>
    <w:rsid w:val="007B2DDA"/>
    <w:rsid w:val="007B3587"/>
    <w:rsid w:val="007B4A1E"/>
    <w:rsid w:val="007B4D01"/>
    <w:rsid w:val="007B59B6"/>
    <w:rsid w:val="007B63AC"/>
    <w:rsid w:val="007B7494"/>
    <w:rsid w:val="007C00DA"/>
    <w:rsid w:val="007C1B9C"/>
    <w:rsid w:val="007C34FF"/>
    <w:rsid w:val="007C4A41"/>
    <w:rsid w:val="007D2100"/>
    <w:rsid w:val="007D375A"/>
    <w:rsid w:val="007D4448"/>
    <w:rsid w:val="007D4A5F"/>
    <w:rsid w:val="007D6F0A"/>
    <w:rsid w:val="007E05A9"/>
    <w:rsid w:val="007E3911"/>
    <w:rsid w:val="007E3947"/>
    <w:rsid w:val="007E549F"/>
    <w:rsid w:val="007F1B4B"/>
    <w:rsid w:val="007F27B8"/>
    <w:rsid w:val="007F40A5"/>
    <w:rsid w:val="007F4172"/>
    <w:rsid w:val="007F4B02"/>
    <w:rsid w:val="007F6B73"/>
    <w:rsid w:val="0080527E"/>
    <w:rsid w:val="008118F9"/>
    <w:rsid w:val="008218CB"/>
    <w:rsid w:val="00821B18"/>
    <w:rsid w:val="00821ECC"/>
    <w:rsid w:val="008220DB"/>
    <w:rsid w:val="00823012"/>
    <w:rsid w:val="0082422C"/>
    <w:rsid w:val="008259B7"/>
    <w:rsid w:val="00826900"/>
    <w:rsid w:val="00827B62"/>
    <w:rsid w:val="00830CD0"/>
    <w:rsid w:val="00832F4F"/>
    <w:rsid w:val="00835E78"/>
    <w:rsid w:val="00836274"/>
    <w:rsid w:val="0084104D"/>
    <w:rsid w:val="0084627A"/>
    <w:rsid w:val="00862370"/>
    <w:rsid w:val="00866743"/>
    <w:rsid w:val="0087304C"/>
    <w:rsid w:val="008770F8"/>
    <w:rsid w:val="00880DA7"/>
    <w:rsid w:val="00881916"/>
    <w:rsid w:val="008839CE"/>
    <w:rsid w:val="008849AF"/>
    <w:rsid w:val="008878F9"/>
    <w:rsid w:val="008915ED"/>
    <w:rsid w:val="008925F5"/>
    <w:rsid w:val="00893229"/>
    <w:rsid w:val="0089757C"/>
    <w:rsid w:val="008A2C1A"/>
    <w:rsid w:val="008A7DED"/>
    <w:rsid w:val="008B09AD"/>
    <w:rsid w:val="008B3222"/>
    <w:rsid w:val="008B6051"/>
    <w:rsid w:val="008B7B89"/>
    <w:rsid w:val="008C10CB"/>
    <w:rsid w:val="008D1B80"/>
    <w:rsid w:val="008D22CB"/>
    <w:rsid w:val="008D3388"/>
    <w:rsid w:val="008D3E4B"/>
    <w:rsid w:val="008D46F4"/>
    <w:rsid w:val="008D5627"/>
    <w:rsid w:val="008E3E2D"/>
    <w:rsid w:val="008F1138"/>
    <w:rsid w:val="008F6679"/>
    <w:rsid w:val="008F6ED9"/>
    <w:rsid w:val="00901226"/>
    <w:rsid w:val="00902CAC"/>
    <w:rsid w:val="0090529F"/>
    <w:rsid w:val="00906BC4"/>
    <w:rsid w:val="00907D96"/>
    <w:rsid w:val="00911527"/>
    <w:rsid w:val="00913BBE"/>
    <w:rsid w:val="00915B47"/>
    <w:rsid w:val="009236BD"/>
    <w:rsid w:val="00924113"/>
    <w:rsid w:val="00925650"/>
    <w:rsid w:val="009257D6"/>
    <w:rsid w:val="0092588C"/>
    <w:rsid w:val="0092637A"/>
    <w:rsid w:val="00926ABE"/>
    <w:rsid w:val="00927F65"/>
    <w:rsid w:val="00931EC4"/>
    <w:rsid w:val="0093251C"/>
    <w:rsid w:val="0093288A"/>
    <w:rsid w:val="00934C2C"/>
    <w:rsid w:val="00940C17"/>
    <w:rsid w:val="00943703"/>
    <w:rsid w:val="00944F0C"/>
    <w:rsid w:val="00946883"/>
    <w:rsid w:val="00953CFE"/>
    <w:rsid w:val="00955091"/>
    <w:rsid w:val="009700DF"/>
    <w:rsid w:val="00974F38"/>
    <w:rsid w:val="009771FA"/>
    <w:rsid w:val="0097734E"/>
    <w:rsid w:val="009850A0"/>
    <w:rsid w:val="00990439"/>
    <w:rsid w:val="00990B07"/>
    <w:rsid w:val="00992189"/>
    <w:rsid w:val="0099245B"/>
    <w:rsid w:val="00994F32"/>
    <w:rsid w:val="009A5C41"/>
    <w:rsid w:val="009A7501"/>
    <w:rsid w:val="009A774A"/>
    <w:rsid w:val="009B128C"/>
    <w:rsid w:val="009B3399"/>
    <w:rsid w:val="009B49EC"/>
    <w:rsid w:val="009B4F31"/>
    <w:rsid w:val="009B519F"/>
    <w:rsid w:val="009B60BC"/>
    <w:rsid w:val="009C1C4D"/>
    <w:rsid w:val="009C3D9C"/>
    <w:rsid w:val="009C673C"/>
    <w:rsid w:val="009D045A"/>
    <w:rsid w:val="009D34E2"/>
    <w:rsid w:val="009D5664"/>
    <w:rsid w:val="009D5F8F"/>
    <w:rsid w:val="009D6F52"/>
    <w:rsid w:val="009D714B"/>
    <w:rsid w:val="009D7226"/>
    <w:rsid w:val="009E0A0C"/>
    <w:rsid w:val="009E1FE0"/>
    <w:rsid w:val="00A02E2C"/>
    <w:rsid w:val="00A04925"/>
    <w:rsid w:val="00A05949"/>
    <w:rsid w:val="00A122BF"/>
    <w:rsid w:val="00A129AE"/>
    <w:rsid w:val="00A169B0"/>
    <w:rsid w:val="00A23E03"/>
    <w:rsid w:val="00A25810"/>
    <w:rsid w:val="00A26F05"/>
    <w:rsid w:val="00A3265B"/>
    <w:rsid w:val="00A33958"/>
    <w:rsid w:val="00A37B48"/>
    <w:rsid w:val="00A400C4"/>
    <w:rsid w:val="00A40CF4"/>
    <w:rsid w:val="00A41AD6"/>
    <w:rsid w:val="00A45CE3"/>
    <w:rsid w:val="00A46392"/>
    <w:rsid w:val="00A5190E"/>
    <w:rsid w:val="00A53FE2"/>
    <w:rsid w:val="00A544EA"/>
    <w:rsid w:val="00A54BCC"/>
    <w:rsid w:val="00A54EA0"/>
    <w:rsid w:val="00A550F8"/>
    <w:rsid w:val="00A60AE5"/>
    <w:rsid w:val="00A61DB8"/>
    <w:rsid w:val="00A631FF"/>
    <w:rsid w:val="00A74CCF"/>
    <w:rsid w:val="00A76B7E"/>
    <w:rsid w:val="00A80CE2"/>
    <w:rsid w:val="00A81C1D"/>
    <w:rsid w:val="00A82708"/>
    <w:rsid w:val="00A82C77"/>
    <w:rsid w:val="00A869A4"/>
    <w:rsid w:val="00A9547F"/>
    <w:rsid w:val="00AA2987"/>
    <w:rsid w:val="00AA3807"/>
    <w:rsid w:val="00AA4AFB"/>
    <w:rsid w:val="00AA64A4"/>
    <w:rsid w:val="00AB3C8C"/>
    <w:rsid w:val="00AC1478"/>
    <w:rsid w:val="00AC27DC"/>
    <w:rsid w:val="00AC4CBA"/>
    <w:rsid w:val="00AC501B"/>
    <w:rsid w:val="00AC5070"/>
    <w:rsid w:val="00AC6F49"/>
    <w:rsid w:val="00AE0C8E"/>
    <w:rsid w:val="00AE2FBA"/>
    <w:rsid w:val="00AE3BF9"/>
    <w:rsid w:val="00AE780F"/>
    <w:rsid w:val="00AF1033"/>
    <w:rsid w:val="00AF1296"/>
    <w:rsid w:val="00AF6198"/>
    <w:rsid w:val="00AF67D5"/>
    <w:rsid w:val="00AF69DC"/>
    <w:rsid w:val="00B00DB5"/>
    <w:rsid w:val="00B034E8"/>
    <w:rsid w:val="00B048F2"/>
    <w:rsid w:val="00B108EE"/>
    <w:rsid w:val="00B1191E"/>
    <w:rsid w:val="00B13705"/>
    <w:rsid w:val="00B150A7"/>
    <w:rsid w:val="00B26960"/>
    <w:rsid w:val="00B26A75"/>
    <w:rsid w:val="00B3089F"/>
    <w:rsid w:val="00B31AF8"/>
    <w:rsid w:val="00B3603A"/>
    <w:rsid w:val="00B3605F"/>
    <w:rsid w:val="00B36505"/>
    <w:rsid w:val="00B36ED7"/>
    <w:rsid w:val="00B40AF3"/>
    <w:rsid w:val="00B40CEF"/>
    <w:rsid w:val="00B41FFA"/>
    <w:rsid w:val="00B450A7"/>
    <w:rsid w:val="00B464EF"/>
    <w:rsid w:val="00B47891"/>
    <w:rsid w:val="00B533CC"/>
    <w:rsid w:val="00B56819"/>
    <w:rsid w:val="00B56B6F"/>
    <w:rsid w:val="00B6405D"/>
    <w:rsid w:val="00B65517"/>
    <w:rsid w:val="00B709B2"/>
    <w:rsid w:val="00B7579E"/>
    <w:rsid w:val="00B770BC"/>
    <w:rsid w:val="00B77B4B"/>
    <w:rsid w:val="00B806E2"/>
    <w:rsid w:val="00B817C8"/>
    <w:rsid w:val="00B84D6D"/>
    <w:rsid w:val="00B86FCE"/>
    <w:rsid w:val="00B9246E"/>
    <w:rsid w:val="00B92BCB"/>
    <w:rsid w:val="00B92D66"/>
    <w:rsid w:val="00B94EC6"/>
    <w:rsid w:val="00B9647F"/>
    <w:rsid w:val="00BA2B2F"/>
    <w:rsid w:val="00BA2D26"/>
    <w:rsid w:val="00BB1BE9"/>
    <w:rsid w:val="00BB2EA0"/>
    <w:rsid w:val="00BC2804"/>
    <w:rsid w:val="00BC58DC"/>
    <w:rsid w:val="00BC59E9"/>
    <w:rsid w:val="00BC66D7"/>
    <w:rsid w:val="00BD063E"/>
    <w:rsid w:val="00BD2039"/>
    <w:rsid w:val="00BD42FF"/>
    <w:rsid w:val="00BE201C"/>
    <w:rsid w:val="00BE2E85"/>
    <w:rsid w:val="00BE2FD4"/>
    <w:rsid w:val="00BE6305"/>
    <w:rsid w:val="00BF344B"/>
    <w:rsid w:val="00BF406F"/>
    <w:rsid w:val="00BF425D"/>
    <w:rsid w:val="00BF469B"/>
    <w:rsid w:val="00C03EC6"/>
    <w:rsid w:val="00C059E5"/>
    <w:rsid w:val="00C10F37"/>
    <w:rsid w:val="00C12759"/>
    <w:rsid w:val="00C1481B"/>
    <w:rsid w:val="00C1483D"/>
    <w:rsid w:val="00C16328"/>
    <w:rsid w:val="00C171B1"/>
    <w:rsid w:val="00C20C41"/>
    <w:rsid w:val="00C306F6"/>
    <w:rsid w:val="00C31546"/>
    <w:rsid w:val="00C3475E"/>
    <w:rsid w:val="00C36C92"/>
    <w:rsid w:val="00C41E86"/>
    <w:rsid w:val="00C426A8"/>
    <w:rsid w:val="00C43315"/>
    <w:rsid w:val="00C43435"/>
    <w:rsid w:val="00C43776"/>
    <w:rsid w:val="00C45628"/>
    <w:rsid w:val="00C46235"/>
    <w:rsid w:val="00C46C79"/>
    <w:rsid w:val="00C51AEB"/>
    <w:rsid w:val="00C54147"/>
    <w:rsid w:val="00C55541"/>
    <w:rsid w:val="00C563C1"/>
    <w:rsid w:val="00C60D0A"/>
    <w:rsid w:val="00C60F68"/>
    <w:rsid w:val="00C61D97"/>
    <w:rsid w:val="00C63DD5"/>
    <w:rsid w:val="00C64A9F"/>
    <w:rsid w:val="00C6527B"/>
    <w:rsid w:val="00C660D0"/>
    <w:rsid w:val="00C70A94"/>
    <w:rsid w:val="00C726A8"/>
    <w:rsid w:val="00C742EE"/>
    <w:rsid w:val="00C77DBE"/>
    <w:rsid w:val="00C817A6"/>
    <w:rsid w:val="00C844BA"/>
    <w:rsid w:val="00C93858"/>
    <w:rsid w:val="00C93CE2"/>
    <w:rsid w:val="00CA00F1"/>
    <w:rsid w:val="00CA4EC0"/>
    <w:rsid w:val="00CA63F8"/>
    <w:rsid w:val="00CB0C5A"/>
    <w:rsid w:val="00CC1734"/>
    <w:rsid w:val="00CC4439"/>
    <w:rsid w:val="00CC62C2"/>
    <w:rsid w:val="00CD1AFC"/>
    <w:rsid w:val="00CE5BF6"/>
    <w:rsid w:val="00CE7017"/>
    <w:rsid w:val="00CF0C77"/>
    <w:rsid w:val="00D000DC"/>
    <w:rsid w:val="00D10AE2"/>
    <w:rsid w:val="00D10D0E"/>
    <w:rsid w:val="00D129A8"/>
    <w:rsid w:val="00D12BD6"/>
    <w:rsid w:val="00D14294"/>
    <w:rsid w:val="00D16E1C"/>
    <w:rsid w:val="00D23151"/>
    <w:rsid w:val="00D26A15"/>
    <w:rsid w:val="00D26C19"/>
    <w:rsid w:val="00D30078"/>
    <w:rsid w:val="00D3159D"/>
    <w:rsid w:val="00D340B9"/>
    <w:rsid w:val="00D34713"/>
    <w:rsid w:val="00D44B22"/>
    <w:rsid w:val="00D44D8C"/>
    <w:rsid w:val="00D462B4"/>
    <w:rsid w:val="00D47859"/>
    <w:rsid w:val="00D560F8"/>
    <w:rsid w:val="00D57EBA"/>
    <w:rsid w:val="00D6002E"/>
    <w:rsid w:val="00D62877"/>
    <w:rsid w:val="00D63038"/>
    <w:rsid w:val="00D640DA"/>
    <w:rsid w:val="00D738BC"/>
    <w:rsid w:val="00D74367"/>
    <w:rsid w:val="00D74446"/>
    <w:rsid w:val="00D80578"/>
    <w:rsid w:val="00D824C6"/>
    <w:rsid w:val="00D93A0D"/>
    <w:rsid w:val="00DA1445"/>
    <w:rsid w:val="00DA1850"/>
    <w:rsid w:val="00DA32CC"/>
    <w:rsid w:val="00DA34E0"/>
    <w:rsid w:val="00DA385F"/>
    <w:rsid w:val="00DA623D"/>
    <w:rsid w:val="00DB015F"/>
    <w:rsid w:val="00DB1360"/>
    <w:rsid w:val="00DB2C53"/>
    <w:rsid w:val="00DB5927"/>
    <w:rsid w:val="00DB75CF"/>
    <w:rsid w:val="00DC356A"/>
    <w:rsid w:val="00DC5933"/>
    <w:rsid w:val="00DC59B7"/>
    <w:rsid w:val="00DC7F0D"/>
    <w:rsid w:val="00DD0E27"/>
    <w:rsid w:val="00DD303E"/>
    <w:rsid w:val="00DD78A6"/>
    <w:rsid w:val="00DE20BA"/>
    <w:rsid w:val="00DE24C3"/>
    <w:rsid w:val="00DF0BB6"/>
    <w:rsid w:val="00DF6437"/>
    <w:rsid w:val="00DF6BA2"/>
    <w:rsid w:val="00E0001C"/>
    <w:rsid w:val="00E003DF"/>
    <w:rsid w:val="00E00AB6"/>
    <w:rsid w:val="00E04389"/>
    <w:rsid w:val="00E053C0"/>
    <w:rsid w:val="00E060C9"/>
    <w:rsid w:val="00E11438"/>
    <w:rsid w:val="00E119E5"/>
    <w:rsid w:val="00E16CE7"/>
    <w:rsid w:val="00E20BAF"/>
    <w:rsid w:val="00E21C31"/>
    <w:rsid w:val="00E30F58"/>
    <w:rsid w:val="00E31210"/>
    <w:rsid w:val="00E330FC"/>
    <w:rsid w:val="00E347DD"/>
    <w:rsid w:val="00E36F0F"/>
    <w:rsid w:val="00E371C5"/>
    <w:rsid w:val="00E3756A"/>
    <w:rsid w:val="00E43D26"/>
    <w:rsid w:val="00E44F08"/>
    <w:rsid w:val="00E456DD"/>
    <w:rsid w:val="00E46E92"/>
    <w:rsid w:val="00E51D0E"/>
    <w:rsid w:val="00E54F5E"/>
    <w:rsid w:val="00E54F6C"/>
    <w:rsid w:val="00E565E1"/>
    <w:rsid w:val="00E613F1"/>
    <w:rsid w:val="00E62931"/>
    <w:rsid w:val="00E62CFF"/>
    <w:rsid w:val="00E76F59"/>
    <w:rsid w:val="00E802F1"/>
    <w:rsid w:val="00E92F86"/>
    <w:rsid w:val="00EA0193"/>
    <w:rsid w:val="00EA09B7"/>
    <w:rsid w:val="00EA108D"/>
    <w:rsid w:val="00EA2069"/>
    <w:rsid w:val="00EA3441"/>
    <w:rsid w:val="00EB38A3"/>
    <w:rsid w:val="00EB5243"/>
    <w:rsid w:val="00EC1D87"/>
    <w:rsid w:val="00EC4EED"/>
    <w:rsid w:val="00EC5427"/>
    <w:rsid w:val="00EC7E59"/>
    <w:rsid w:val="00ED15F3"/>
    <w:rsid w:val="00ED619C"/>
    <w:rsid w:val="00EE1B69"/>
    <w:rsid w:val="00EE2F31"/>
    <w:rsid w:val="00EE6F23"/>
    <w:rsid w:val="00EF2BF1"/>
    <w:rsid w:val="00EF2C83"/>
    <w:rsid w:val="00F10A3C"/>
    <w:rsid w:val="00F10F63"/>
    <w:rsid w:val="00F15125"/>
    <w:rsid w:val="00F2466A"/>
    <w:rsid w:val="00F25B54"/>
    <w:rsid w:val="00F260CD"/>
    <w:rsid w:val="00F26865"/>
    <w:rsid w:val="00F31899"/>
    <w:rsid w:val="00F32C43"/>
    <w:rsid w:val="00F370D5"/>
    <w:rsid w:val="00F37CC6"/>
    <w:rsid w:val="00F40D18"/>
    <w:rsid w:val="00F42E10"/>
    <w:rsid w:val="00F44416"/>
    <w:rsid w:val="00F45E39"/>
    <w:rsid w:val="00F47519"/>
    <w:rsid w:val="00F646B3"/>
    <w:rsid w:val="00F66607"/>
    <w:rsid w:val="00F73112"/>
    <w:rsid w:val="00F76121"/>
    <w:rsid w:val="00F828B7"/>
    <w:rsid w:val="00F860E2"/>
    <w:rsid w:val="00F8745F"/>
    <w:rsid w:val="00F87B9B"/>
    <w:rsid w:val="00F907FC"/>
    <w:rsid w:val="00FA00CD"/>
    <w:rsid w:val="00FA36D0"/>
    <w:rsid w:val="00FA3F34"/>
    <w:rsid w:val="00FA5994"/>
    <w:rsid w:val="00FB2ED9"/>
    <w:rsid w:val="00FB3EB1"/>
    <w:rsid w:val="00FB4F1A"/>
    <w:rsid w:val="00FB6E6D"/>
    <w:rsid w:val="00FB7FD9"/>
    <w:rsid w:val="00FC02A9"/>
    <w:rsid w:val="00FC0D48"/>
    <w:rsid w:val="00FC1FA1"/>
    <w:rsid w:val="00FC274C"/>
    <w:rsid w:val="00FC309D"/>
    <w:rsid w:val="00FC382B"/>
    <w:rsid w:val="00FC3FB4"/>
    <w:rsid w:val="00FC4E98"/>
    <w:rsid w:val="00FC6473"/>
    <w:rsid w:val="00FC781D"/>
    <w:rsid w:val="00FD1715"/>
    <w:rsid w:val="00FD6166"/>
    <w:rsid w:val="00FE04ED"/>
    <w:rsid w:val="00FE12C5"/>
    <w:rsid w:val="00FE3F71"/>
    <w:rsid w:val="00FE6D3B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F4FC1"/>
  <w15:docId w15:val="{2170323A-3E8A-4894-AA15-6835FFD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CC"/>
    <w:pPr>
      <w:jc w:val="both"/>
    </w:pPr>
    <w:rPr>
      <w:rFonts w:ascii="Arial" w:hAnsi="Arial"/>
      <w:sz w:val="40"/>
      <w:szCs w:val="40"/>
    </w:rPr>
  </w:style>
  <w:style w:type="paragraph" w:styleId="Heading1">
    <w:name w:val="heading 1"/>
    <w:basedOn w:val="Normal"/>
    <w:next w:val="Normal"/>
    <w:qFormat/>
    <w:rsid w:val="000779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0779CF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A6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3DF"/>
  </w:style>
  <w:style w:type="paragraph" w:styleId="Footer">
    <w:name w:val="footer"/>
    <w:basedOn w:val="Normal"/>
    <w:rsid w:val="007713D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505E"/>
    <w:pPr>
      <w:ind w:left="720"/>
    </w:pPr>
    <w:rPr>
      <w:rFonts w:cs="Arial"/>
    </w:rPr>
  </w:style>
  <w:style w:type="paragraph" w:customStyle="1" w:styleId="table1">
    <w:name w:val="table1"/>
    <w:basedOn w:val="Normal"/>
    <w:rsid w:val="002136A8"/>
    <w:rPr>
      <w:rFonts w:ascii="Euclid" w:hAnsi="Euclid" w:cs="Arial"/>
      <w:bCs/>
      <w:sz w:val="24"/>
    </w:rPr>
  </w:style>
  <w:style w:type="paragraph" w:customStyle="1" w:styleId="Body">
    <w:name w:val="Body"/>
    <w:basedOn w:val="Normal"/>
    <w:rsid w:val="00CE5BF6"/>
    <w:pPr>
      <w:spacing w:line="400" w:lineRule="exact"/>
      <w:ind w:firstLine="288"/>
    </w:pPr>
    <w:rPr>
      <w:rFonts w:ascii="Euclid" w:hAnsi="Euclid"/>
      <w:bCs/>
      <w:sz w:val="24"/>
      <w:szCs w:val="24"/>
    </w:rPr>
  </w:style>
  <w:style w:type="character" w:styleId="CommentReference">
    <w:name w:val="annotation reference"/>
    <w:semiHidden/>
    <w:rsid w:val="00DF64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643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437"/>
    <w:rPr>
      <w:b/>
      <w:bCs/>
    </w:rPr>
  </w:style>
  <w:style w:type="paragraph" w:styleId="BalloonText">
    <w:name w:val="Balloon Text"/>
    <w:basedOn w:val="Normal"/>
    <w:semiHidden/>
    <w:rsid w:val="00DF64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72F07"/>
    <w:pPr>
      <w:spacing w:after="120"/>
    </w:pPr>
  </w:style>
  <w:style w:type="paragraph" w:styleId="BodyTextIndent2">
    <w:name w:val="Body Text Indent 2"/>
    <w:basedOn w:val="Normal"/>
    <w:rsid w:val="00572F07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CC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8" w:after="138"/>
    </w:pPr>
    <w:rPr>
      <w:rFonts w:ascii="Courier New" w:hAnsi="Courier New" w:cs="Courier New"/>
      <w:sz w:val="20"/>
      <w:szCs w:val="20"/>
    </w:rPr>
  </w:style>
  <w:style w:type="table" w:styleId="TableGrid8">
    <w:name w:val="Table Grid 8"/>
    <w:basedOn w:val="TableNormal"/>
    <w:rsid w:val="00CA4E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292CB7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rsid w:val="00035E27"/>
    <w:rPr>
      <w:color w:val="0000FF"/>
      <w:u w:val="single"/>
    </w:rPr>
  </w:style>
  <w:style w:type="table" w:styleId="TableGrid">
    <w:name w:val="Table Grid"/>
    <w:basedOn w:val="TableNormal"/>
    <w:rsid w:val="0002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6">
    <w:name w:val="R_16"/>
    <w:basedOn w:val="Normal"/>
    <w:rsid w:val="00AF1296"/>
    <w:pPr>
      <w:ind w:left="720"/>
    </w:pPr>
    <w:rPr>
      <w:rFonts w:ascii="Courier New" w:hAnsi="Courier New"/>
      <w:sz w:val="32"/>
    </w:rPr>
  </w:style>
  <w:style w:type="character" w:styleId="FollowedHyperlink">
    <w:name w:val="FollowedHyperlink"/>
    <w:rsid w:val="00BC59E9"/>
    <w:rPr>
      <w:color w:val="800080"/>
      <w:u w:val="single"/>
    </w:rPr>
  </w:style>
  <w:style w:type="paragraph" w:styleId="NormalWeb">
    <w:name w:val="Normal (Web)"/>
    <w:basedOn w:val="Normal"/>
    <w:rsid w:val="00BE2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6205F"/>
    <w:rPr>
      <w:rFonts w:ascii="Arial" w:hAnsi="Arial"/>
      <w:sz w:val="40"/>
      <w:szCs w:val="40"/>
    </w:rPr>
  </w:style>
  <w:style w:type="character" w:customStyle="1" w:styleId="CommentTextChar">
    <w:name w:val="Comment Text Char"/>
    <w:link w:val="CommentText"/>
    <w:semiHidden/>
    <w:rsid w:val="006658B3"/>
    <w:rPr>
      <w:rFonts w:ascii="Arial" w:hAnsi="Arial"/>
      <w:szCs w:val="40"/>
    </w:rPr>
  </w:style>
  <w:style w:type="paragraph" w:styleId="PlainText">
    <w:name w:val="Plain Text"/>
    <w:basedOn w:val="Normal"/>
    <w:link w:val="PlainTextChar"/>
    <w:uiPriority w:val="99"/>
    <w:unhideWhenUsed/>
    <w:rsid w:val="0069660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96606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3F66F6"/>
    <w:pPr>
      <w:ind w:left="720"/>
      <w:contextualSpacing/>
    </w:pPr>
  </w:style>
  <w:style w:type="paragraph" w:customStyle="1" w:styleId="R14">
    <w:name w:val="R_14"/>
    <w:basedOn w:val="R16"/>
    <w:autoRedefine/>
    <w:qFormat/>
    <w:rsid w:val="00A54BCC"/>
    <w:pPr>
      <w:ind w:left="1440" w:hanging="720"/>
      <w:jc w:val="left"/>
    </w:pPr>
    <w:rPr>
      <w:sz w:val="28"/>
    </w:rPr>
  </w:style>
  <w:style w:type="character" w:styleId="Emphasis">
    <w:name w:val="Emphasis"/>
    <w:basedOn w:val="DefaultParagraphFont"/>
    <w:uiPriority w:val="20"/>
    <w:qFormat/>
    <w:rsid w:val="00146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BB9E-3841-4B45-9A39-6B3DB41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Fsfsfsd</vt:lpstr>
    </vt:vector>
  </TitlesOfParts>
  <Company>Oklahoma State University</Company>
  <LinksUpToDate>false</LinksUpToDate>
  <CharactersWithSpaces>9418</CharactersWithSpaces>
  <SharedDoc>false</SharedDoc>
  <HLinks>
    <vt:vector size="18" baseType="variant">
      <vt:variant>
        <vt:i4>7340132</vt:i4>
      </vt:variant>
      <vt:variant>
        <vt:i4>300</vt:i4>
      </vt:variant>
      <vt:variant>
        <vt:i4>0</vt:i4>
      </vt:variant>
      <vt:variant>
        <vt:i4>5</vt:i4>
      </vt:variant>
      <vt:variant>
        <vt:lpwstr>http://www.amazon.com/Lady-Tasting-Tea-Statistics-Revolutionized/dp/0716741067</vt:lpwstr>
      </vt:variant>
      <vt:variant>
        <vt:lpwstr/>
      </vt:variant>
      <vt:variant>
        <vt:i4>7012402</vt:i4>
      </vt:variant>
      <vt:variant>
        <vt:i4>255</vt:i4>
      </vt:variant>
      <vt:variant>
        <vt:i4>0</vt:i4>
      </vt:variant>
      <vt:variant>
        <vt:i4>5</vt:i4>
      </vt:variant>
      <vt:variant>
        <vt:lpwstr>http://www.chrisbilder.com/stat870/schedule.htm</vt:lpwstr>
      </vt:variant>
      <vt:variant>
        <vt:lpwstr/>
      </vt:variant>
      <vt:variant>
        <vt:i4>131122</vt:i4>
      </vt:variant>
      <vt:variant>
        <vt:i4>45</vt:i4>
      </vt:variant>
      <vt:variant>
        <vt:i4>0</vt:i4>
      </vt:variant>
      <vt:variant>
        <vt:i4>5</vt:i4>
      </vt:variant>
      <vt:variant>
        <vt:lpwstr>http://www.stat.ufl.edu/~aa/cda/R/two_sample/R2/index.html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Fsfsfsd</dc:title>
  <dc:creator>Chris Bilder</dc:creator>
  <cp:lastModifiedBy>Chris Bilder</cp:lastModifiedBy>
  <cp:revision>28</cp:revision>
  <cp:lastPrinted>2007-12-20T17:48:00Z</cp:lastPrinted>
  <dcterms:created xsi:type="dcterms:W3CDTF">2022-12-24T16:40:00Z</dcterms:created>
  <dcterms:modified xsi:type="dcterms:W3CDTF">2023-02-10T19:16:00Z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