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D5DB" w14:textId="25F9D4B9" w:rsidR="005F2EE1" w:rsidRDefault="0079590F" w:rsidP="005F2EE1">
      <w:r>
        <w:rPr>
          <w:b/>
        </w:rPr>
        <w:t>S</w:t>
      </w:r>
      <w:r w:rsidR="005F2EE1" w:rsidRPr="0037287D">
        <w:rPr>
          <w:b/>
        </w:rPr>
        <w:t xml:space="preserve">ection </w:t>
      </w:r>
      <w:r w:rsidR="005F2EE1">
        <w:rPr>
          <w:b/>
        </w:rPr>
        <w:t>2</w:t>
      </w:r>
      <w:r w:rsidR="005F2EE1" w:rsidRPr="0037287D">
        <w:rPr>
          <w:b/>
        </w:rPr>
        <w:t>.</w:t>
      </w:r>
      <w:r w:rsidR="005F2EE1">
        <w:rPr>
          <w:b/>
        </w:rPr>
        <w:t>3 – Generalized linear models</w:t>
      </w:r>
      <w:r w:rsidR="00ED1631">
        <w:rPr>
          <w:b/>
        </w:rPr>
        <w:t xml:space="preserve"> </w:t>
      </w:r>
    </w:p>
    <w:p w14:paraId="0C4E3CA8" w14:textId="77777777" w:rsidR="005F2EE1" w:rsidRDefault="005F2EE1" w:rsidP="005F2EE1">
      <w:pPr>
        <w:ind w:left="1080"/>
      </w:pPr>
    </w:p>
    <w:p w14:paraId="3079A384" w14:textId="1B8108FB" w:rsidR="005F2EE1" w:rsidRDefault="00E30392" w:rsidP="00E30392">
      <w:pPr>
        <w:ind w:left="720"/>
      </w:pPr>
      <w:r w:rsidRPr="00E30392">
        <w:t xml:space="preserve">Logistic regression models fall within a family of models </w:t>
      </w:r>
      <w:r w:rsidR="00C04446">
        <w:t>known as</w:t>
      </w:r>
      <w:r w:rsidRPr="00E30392">
        <w:t xml:space="preserve"> </w:t>
      </w:r>
      <w:r w:rsidRPr="00C170F2">
        <w:rPr>
          <w:u w:val="single"/>
        </w:rPr>
        <w:t>generalized linear models</w:t>
      </w:r>
      <w:r w:rsidRPr="00E30392">
        <w:t xml:space="preserve">. Each generalized linear model </w:t>
      </w:r>
      <w:r w:rsidR="00C170F2">
        <w:t xml:space="preserve">(GLM) </w:t>
      </w:r>
      <w:r w:rsidRPr="00E30392">
        <w:t>has three different components:</w:t>
      </w:r>
    </w:p>
    <w:p w14:paraId="4582D86B" w14:textId="77777777" w:rsidR="00E30392" w:rsidRDefault="00E30392" w:rsidP="00E30392">
      <w:pPr>
        <w:ind w:left="720"/>
      </w:pPr>
    </w:p>
    <w:p w14:paraId="47B55610" w14:textId="30513286" w:rsidR="00E30392" w:rsidRDefault="00E30392" w:rsidP="00F9042A">
      <w:pPr>
        <w:pStyle w:val="ListParagraph"/>
        <w:numPr>
          <w:ilvl w:val="0"/>
          <w:numId w:val="7"/>
        </w:numPr>
      </w:pPr>
      <w:r>
        <w:t xml:space="preserve">Random: This specifies the distribution for Y. For the logistic regression model, Y has a Bernoulli distribution. </w:t>
      </w:r>
    </w:p>
    <w:p w14:paraId="12B391CF" w14:textId="2EA10B73" w:rsidR="00E30392" w:rsidRDefault="00E30392" w:rsidP="00F9042A">
      <w:pPr>
        <w:pStyle w:val="ListParagraph"/>
        <w:numPr>
          <w:ilvl w:val="0"/>
          <w:numId w:val="7"/>
        </w:numPr>
      </w:pPr>
      <w:r>
        <w:t xml:space="preserve">Systematic: This specifies a linear combination of the </w:t>
      </w:r>
      <w:r w:rsidR="00C170F2">
        <w:t>regression</w:t>
      </w:r>
      <w:r>
        <w:t xml:space="preserve"> parameters with the explanatory variables, and it is often referred to as the linear predictor. For the logistic regression model, we have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MT Extra" w:char="F04C"/>
      </w:r>
      <w:r w:rsidR="00047DCC">
        <w:t>+</w:t>
      </w:r>
      <w:r>
        <w:t xml:space="preserve">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  <w:r>
        <w:t xml:space="preserve">. </w:t>
      </w:r>
    </w:p>
    <w:p w14:paraId="0DED7E8E" w14:textId="0DCC4343" w:rsidR="00E30392" w:rsidRDefault="00E30392" w:rsidP="00F9042A">
      <w:pPr>
        <w:pStyle w:val="ListParagraph"/>
        <w:numPr>
          <w:ilvl w:val="0"/>
          <w:numId w:val="7"/>
        </w:numPr>
      </w:pPr>
      <w:r>
        <w:t xml:space="preserve">Link: This specifies how the expected value of the random component E(Y) is linked to the systematic component. For the logistic regression model, we have </w:t>
      </w:r>
      <w:r w:rsidRPr="00E30392">
        <w:rPr>
          <w:position w:val="-14"/>
        </w:rPr>
        <w:object w:dxaOrig="4920" w:dyaOrig="499" w14:anchorId="646E0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26.25pt" o:ole="">
            <v:imagedata r:id="rId8" o:title=""/>
          </v:shape>
          <o:OLEObject Type="Embed" ProgID="Equation.DSMT4" ShapeID="_x0000_i1025" DrawAspect="Content" ObjectID="_1735037213" r:id="rId9"/>
        </w:object>
      </w:r>
      <w:r>
        <w:t xml:space="preserve"> where E(Y) = </w:t>
      </w:r>
      <w:r>
        <w:sym w:font="Symbol" w:char="F070"/>
      </w:r>
      <w:r>
        <w:t xml:space="preserve"> and the logit transformation is the link function.</w:t>
      </w:r>
    </w:p>
    <w:p w14:paraId="6B1CC495" w14:textId="77777777" w:rsidR="00E30392" w:rsidRDefault="00E30392" w:rsidP="00E30392"/>
    <w:p w14:paraId="39E816F8" w14:textId="77777777" w:rsidR="00C04446" w:rsidRDefault="00C04446" w:rsidP="000932C2">
      <w:pPr>
        <w:ind w:left="720"/>
      </w:pPr>
      <w:r w:rsidRPr="00C04446">
        <w:rPr>
          <w:u w:val="single"/>
        </w:rPr>
        <w:t>Comments</w:t>
      </w:r>
      <w:r>
        <w:t>:</w:t>
      </w:r>
    </w:p>
    <w:p w14:paraId="5C4E9F4C" w14:textId="77777777" w:rsidR="00C04446" w:rsidRDefault="000932C2" w:rsidP="00C04446">
      <w:pPr>
        <w:pStyle w:val="ListParagraph"/>
        <w:numPr>
          <w:ilvl w:val="0"/>
          <w:numId w:val="18"/>
        </w:numPr>
      </w:pPr>
      <w:r>
        <w:t xml:space="preserve">Note that “linear” in generalized linear models comes from the </w:t>
      </w:r>
      <w:r w:rsidR="00C170F2">
        <w:t>regression</w:t>
      </w:r>
      <w:r>
        <w:t xml:space="preserve"> parameters simply being coefficients for the explanatory variables in the model. Nonlinear models involve more complex functional forms such as x</w:t>
      </w:r>
      <w:r>
        <w:rPr>
          <w:vertAlign w:val="superscript"/>
        </w:rPr>
        <w:sym w:font="Symbol" w:char="F062"/>
      </w:r>
      <w:r>
        <w:t xml:space="preserve">. </w:t>
      </w:r>
    </w:p>
    <w:p w14:paraId="49AE6E68" w14:textId="4172630C" w:rsidR="000932C2" w:rsidRDefault="0050727B" w:rsidP="00C04446">
      <w:pPr>
        <w:pStyle w:val="ListParagraph"/>
        <w:numPr>
          <w:ilvl w:val="0"/>
          <w:numId w:val="18"/>
        </w:numPr>
      </w:pPr>
      <w:r>
        <w:t xml:space="preserve">The GLM abbreviation is where the </w:t>
      </w:r>
      <w:r w:rsidRPr="00C04446">
        <w:rPr>
          <w:rFonts w:ascii="Courier New" w:hAnsi="Courier New" w:cs="Courier New"/>
        </w:rPr>
        <w:t>glm()</w:t>
      </w:r>
      <w:r>
        <w:t xml:space="preserve"> function gets its name. </w:t>
      </w:r>
    </w:p>
    <w:p w14:paraId="43CE635F" w14:textId="22E28FBF" w:rsidR="000932C2" w:rsidRDefault="000932C2" w:rsidP="00FC1331"/>
    <w:p w14:paraId="641AD77F" w14:textId="77777777" w:rsidR="0050727B" w:rsidRDefault="0050727B">
      <w:pPr>
        <w:spacing w:after="200" w:line="276" w:lineRule="auto"/>
        <w:jc w:val="left"/>
      </w:pPr>
      <w:r>
        <w:br w:type="page"/>
      </w:r>
    </w:p>
    <w:p w14:paraId="68B1604F" w14:textId="1F283235" w:rsidR="005C2A5C" w:rsidRDefault="005C2A5C" w:rsidP="005C2A5C">
      <w:pPr>
        <w:ind w:left="720"/>
      </w:pPr>
      <w:r>
        <w:lastRenderedPageBreak/>
        <w:t>Other generalized linear models include:</w:t>
      </w:r>
    </w:p>
    <w:p w14:paraId="685150B6" w14:textId="1F411D67" w:rsidR="005C2A5C" w:rsidRDefault="005C2A5C" w:rsidP="005C2A5C">
      <w:pPr>
        <w:pStyle w:val="ListParagraph"/>
        <w:numPr>
          <w:ilvl w:val="0"/>
          <w:numId w:val="17"/>
        </w:numPr>
      </w:pPr>
      <w:r>
        <w:t xml:space="preserve">Normal linear regression model:  </w:t>
      </w:r>
    </w:p>
    <w:p w14:paraId="129237E7" w14:textId="77777777" w:rsidR="005C2A5C" w:rsidRDefault="005C2A5C" w:rsidP="005C2A5C">
      <w:pPr>
        <w:ind w:left="720"/>
      </w:pPr>
    </w:p>
    <w:p w14:paraId="0E774DF8" w14:textId="5CF7E81B" w:rsidR="005C2A5C" w:rsidRPr="00894E6E" w:rsidRDefault="005C2A5C" w:rsidP="005C2A5C">
      <w:pPr>
        <w:ind w:left="1440"/>
      </w:pPr>
      <w:r>
        <w:t xml:space="preserve">E(Y)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… +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</w:p>
    <w:p w14:paraId="11F6EDA7" w14:textId="17C1167B" w:rsidR="005C2A5C" w:rsidRDefault="005C2A5C" w:rsidP="005C2A5C">
      <w:pPr>
        <w:ind w:left="720"/>
      </w:pPr>
    </w:p>
    <w:p w14:paraId="65881EE2" w14:textId="66DDB4CE" w:rsidR="005C2A5C" w:rsidRDefault="005C2A5C" w:rsidP="005C2A5C">
      <w:pPr>
        <w:ind w:left="1080"/>
      </w:pPr>
      <w:r>
        <w:t>Random: Y has a normal distribution</w:t>
      </w:r>
    </w:p>
    <w:p w14:paraId="626E273D" w14:textId="76FF4475" w:rsidR="005C2A5C" w:rsidRDefault="005C2A5C" w:rsidP="005C2A5C">
      <w:pPr>
        <w:ind w:left="1080"/>
      </w:pPr>
      <w:r>
        <w:t xml:space="preserve">Systematic: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MT Extra" w:char="F04C"/>
      </w:r>
      <w:r>
        <w:t xml:space="preserve"> </w:t>
      </w:r>
      <w:r w:rsidR="00185DFA">
        <w:t xml:space="preserve">+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</w:p>
    <w:p w14:paraId="5C59C0CC" w14:textId="6022033C" w:rsidR="005C2A5C" w:rsidRDefault="005C2A5C" w:rsidP="005C2A5C">
      <w:pPr>
        <w:ind w:left="1080"/>
      </w:pPr>
      <w:r>
        <w:t xml:space="preserve">Link: Identity </w:t>
      </w:r>
    </w:p>
    <w:p w14:paraId="13E2F66E" w14:textId="77777777" w:rsidR="005C2A5C" w:rsidRPr="005C2A5C" w:rsidRDefault="005C2A5C" w:rsidP="005C2A5C">
      <w:pPr>
        <w:ind w:left="1080"/>
      </w:pPr>
    </w:p>
    <w:p w14:paraId="114B87A8" w14:textId="77777777" w:rsidR="005C2A5C" w:rsidRDefault="005C2A5C" w:rsidP="005C2A5C">
      <w:pPr>
        <w:pStyle w:val="ListParagraph"/>
        <w:numPr>
          <w:ilvl w:val="0"/>
          <w:numId w:val="16"/>
        </w:numPr>
      </w:pPr>
      <w:r>
        <w:t xml:space="preserve">Poisson regression model from Chapter 4: </w:t>
      </w:r>
    </w:p>
    <w:p w14:paraId="21AA0EB8" w14:textId="2E578143" w:rsidR="005C2A5C" w:rsidRDefault="005C2A5C" w:rsidP="005C2A5C">
      <w:pPr>
        <w:pStyle w:val="ListParagraph"/>
        <w:ind w:left="1080"/>
      </w:pPr>
    </w:p>
    <w:p w14:paraId="4A7D91FB" w14:textId="2D904241" w:rsidR="005C2A5C" w:rsidRPr="00894E6E" w:rsidRDefault="005C2A5C" w:rsidP="005C2A5C">
      <w:pPr>
        <w:ind w:left="1440"/>
      </w:pPr>
      <w:r>
        <w:t xml:space="preserve">log[E(Y)] = </w:t>
      </w:r>
      <w:r>
        <w:sym w:font="Symbol" w:char="F062"/>
      </w:r>
      <w:r w:rsidRPr="005C2A5C">
        <w:rPr>
          <w:vertAlign w:val="subscript"/>
        </w:rPr>
        <w:t>0</w:t>
      </w:r>
      <w:r>
        <w:t xml:space="preserve"> + </w:t>
      </w:r>
      <w:r>
        <w:sym w:font="Symbol" w:char="F062"/>
      </w:r>
      <w:r w:rsidRPr="005C2A5C">
        <w:rPr>
          <w:vertAlign w:val="subscript"/>
        </w:rPr>
        <w:t>1</w:t>
      </w:r>
      <w:r>
        <w:t>x</w:t>
      </w:r>
      <w:r w:rsidRPr="005C2A5C">
        <w:rPr>
          <w:vertAlign w:val="subscript"/>
        </w:rPr>
        <w:t>1</w:t>
      </w:r>
      <w:r>
        <w:t xml:space="preserve"> + … + </w:t>
      </w:r>
      <w:r>
        <w:sym w:font="Symbol" w:char="F062"/>
      </w:r>
      <w:r w:rsidRPr="005C2A5C">
        <w:rPr>
          <w:vertAlign w:val="subscript"/>
        </w:rPr>
        <w:t>p</w:t>
      </w:r>
      <w:r>
        <w:t>x</w:t>
      </w:r>
      <w:r w:rsidRPr="005C2A5C">
        <w:rPr>
          <w:vertAlign w:val="subscript"/>
        </w:rPr>
        <w:t>p</w:t>
      </w:r>
    </w:p>
    <w:p w14:paraId="6E06C646" w14:textId="7A8C75D2" w:rsidR="005C2A5C" w:rsidRDefault="005C2A5C" w:rsidP="005C2A5C">
      <w:pPr>
        <w:pStyle w:val="ListParagraph"/>
        <w:ind w:left="1080"/>
      </w:pPr>
    </w:p>
    <w:p w14:paraId="63351554" w14:textId="154D9C90" w:rsidR="005C2A5C" w:rsidRDefault="005C2A5C" w:rsidP="005C2A5C">
      <w:pPr>
        <w:ind w:left="1080"/>
      </w:pPr>
      <w:r>
        <w:t>Random: Y has a Poisson distribution</w:t>
      </w:r>
    </w:p>
    <w:p w14:paraId="06801089" w14:textId="219D5A13" w:rsidR="005C2A5C" w:rsidRDefault="005C2A5C" w:rsidP="005C2A5C">
      <w:pPr>
        <w:ind w:left="1080"/>
      </w:pPr>
      <w:r>
        <w:t xml:space="preserve">Systematic: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MT Extra" w:char="F04C"/>
      </w:r>
      <w:r>
        <w:t xml:space="preserve"> </w:t>
      </w:r>
      <w:r w:rsidR="00185DFA">
        <w:t xml:space="preserve">+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</w:p>
    <w:p w14:paraId="79910481" w14:textId="4F2AB06D" w:rsidR="005C2A5C" w:rsidRDefault="005C2A5C" w:rsidP="005C2A5C">
      <w:pPr>
        <w:pStyle w:val="ListParagraph"/>
        <w:ind w:left="1080"/>
      </w:pPr>
      <w:r>
        <w:t>Link: log</w:t>
      </w:r>
    </w:p>
    <w:p w14:paraId="0489D563" w14:textId="77777777" w:rsidR="005C2A5C" w:rsidRPr="005C2A5C" w:rsidRDefault="005C2A5C" w:rsidP="005C2A5C">
      <w:pPr>
        <w:pStyle w:val="ListParagraph"/>
        <w:ind w:left="1080"/>
      </w:pPr>
    </w:p>
    <w:p w14:paraId="2A44E282" w14:textId="7AA72BAE" w:rsidR="005C2A5C" w:rsidRDefault="005C2A5C" w:rsidP="005C2A5C">
      <w:pPr>
        <w:ind w:left="720"/>
      </w:pPr>
      <w:r>
        <w:t xml:space="preserve">We will focus </w:t>
      </w:r>
      <w:r w:rsidR="00C04446">
        <w:t>i</w:t>
      </w:r>
      <w:r>
        <w:t xml:space="preserve">n this section </w:t>
      </w:r>
      <w:r w:rsidR="00C04446">
        <w:t xml:space="preserve">on </w:t>
      </w:r>
      <w:r>
        <w:t>generalized linear models when the random component has Y with a Bernoulli distribution</w:t>
      </w:r>
      <w:r w:rsidR="00446566">
        <w:t>.</w:t>
      </w:r>
      <w:r w:rsidR="00C04446">
        <w:t xml:space="preserve"> </w:t>
      </w:r>
      <w:r>
        <w:t xml:space="preserve">In addition to </w:t>
      </w:r>
      <w:r w:rsidR="00446566">
        <w:t xml:space="preserve">the </w:t>
      </w:r>
      <w:r>
        <w:t>logistic regression</w:t>
      </w:r>
      <w:r w:rsidR="00446566">
        <w:t xml:space="preserve"> model</w:t>
      </w:r>
      <w:r>
        <w:t xml:space="preserve">, </w:t>
      </w:r>
      <w:r w:rsidR="00E21534">
        <w:t xml:space="preserve">two models sometimes used </w:t>
      </w:r>
      <w:r w:rsidR="00446566">
        <w:t>for binary regression are</w:t>
      </w:r>
      <w:r>
        <w:t xml:space="preserve"> </w:t>
      </w:r>
    </w:p>
    <w:p w14:paraId="6994C919" w14:textId="6111CDEB" w:rsidR="005C2A5C" w:rsidRDefault="005C2A5C" w:rsidP="005C2A5C">
      <w:pPr>
        <w:pStyle w:val="ListParagraph"/>
        <w:numPr>
          <w:ilvl w:val="0"/>
          <w:numId w:val="8"/>
        </w:numPr>
      </w:pPr>
      <w:r>
        <w:t xml:space="preserve">Probit regression model: </w:t>
      </w:r>
    </w:p>
    <w:p w14:paraId="03159C32" w14:textId="158BF4D8" w:rsidR="005C2A5C" w:rsidRDefault="005C2A5C" w:rsidP="005C2A5C">
      <w:pPr>
        <w:pStyle w:val="ListParagraph"/>
        <w:ind w:left="1080"/>
      </w:pPr>
    </w:p>
    <w:p w14:paraId="75A8BAB1" w14:textId="3CA5D180" w:rsidR="005C2A5C" w:rsidRPr="00E21534" w:rsidRDefault="005C2A5C" w:rsidP="00E21534">
      <w:pPr>
        <w:ind w:left="1440"/>
      </w:pPr>
      <w:r>
        <w:t>probit(</w:t>
      </w:r>
      <w:r>
        <w:sym w:font="Symbol" w:char="F070"/>
      </w:r>
      <w:r>
        <w:t xml:space="preserve">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MT Extra" w:char="F04C"/>
      </w:r>
      <w:r>
        <w:t xml:space="preserve">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</w:p>
    <w:p w14:paraId="4062F617" w14:textId="7B2C1486" w:rsidR="00E21534" w:rsidRPr="00E21534" w:rsidRDefault="00E21534" w:rsidP="00E21534">
      <w:pPr>
        <w:ind w:left="1080"/>
      </w:pPr>
    </w:p>
    <w:p w14:paraId="26AFDCC0" w14:textId="06B68E2B" w:rsidR="00E21534" w:rsidRDefault="00E21534" w:rsidP="00E21534">
      <w:pPr>
        <w:ind w:left="1080"/>
      </w:pPr>
      <w:r w:rsidRPr="00E21534">
        <w:t xml:space="preserve">where </w:t>
      </w:r>
      <w:r>
        <w:t>probit(</w:t>
      </w:r>
      <w:r>
        <w:sym w:font="Symbol" w:char="F070"/>
      </w:r>
      <w:r>
        <w:t xml:space="preserve">) represents the inverse transformation of the standard normal CDF. In other words, suppose Z is </w:t>
      </w:r>
      <w:r>
        <w:lastRenderedPageBreak/>
        <w:t xml:space="preserve">a standard normal random variable. Find the quantile such that the probability to the left of it is </w:t>
      </w:r>
      <w:r>
        <w:sym w:font="Symbol" w:char="F070"/>
      </w:r>
      <w:r>
        <w:t xml:space="preserve">. For example, P(Z &lt; 1.96) is 0.975: </w:t>
      </w:r>
    </w:p>
    <w:p w14:paraId="2478BB53" w14:textId="704B71A7" w:rsidR="00E21534" w:rsidRDefault="00E21534" w:rsidP="00E21534">
      <w:pPr>
        <w:ind w:left="1080"/>
      </w:pPr>
    </w:p>
    <w:p w14:paraId="4E4F2340" w14:textId="77777777" w:rsidR="00E21534" w:rsidRDefault="00E21534" w:rsidP="00E21534">
      <w:pPr>
        <w:pStyle w:val="R-14"/>
        <w:ind w:left="1800"/>
      </w:pPr>
      <w:r>
        <w:t>&gt; qnorm(0.975)</w:t>
      </w:r>
    </w:p>
    <w:p w14:paraId="19540C3B" w14:textId="307A20A3" w:rsidR="00E21534" w:rsidRDefault="00E21534" w:rsidP="00E21534">
      <w:pPr>
        <w:pStyle w:val="R-14"/>
        <w:ind w:left="1800"/>
      </w:pPr>
      <w:r>
        <w:t>[1] 1.959964</w:t>
      </w:r>
    </w:p>
    <w:p w14:paraId="35349ADC" w14:textId="77777777" w:rsidR="00A45E23" w:rsidRDefault="00A45E23" w:rsidP="00A45E23">
      <w:pPr>
        <w:pStyle w:val="R-14"/>
        <w:ind w:left="1800"/>
      </w:pPr>
      <w:r>
        <w:t>&gt; pnorm(1.96)</w:t>
      </w:r>
    </w:p>
    <w:p w14:paraId="5842DF7C" w14:textId="3E25BF6A" w:rsidR="00A45E23" w:rsidRDefault="00A45E23" w:rsidP="00A45E23">
      <w:pPr>
        <w:pStyle w:val="R-14"/>
        <w:ind w:left="1800"/>
      </w:pPr>
      <w:r>
        <w:t>[1] 0.9750021</w:t>
      </w:r>
    </w:p>
    <w:p w14:paraId="4DB9D0F9" w14:textId="77777777" w:rsidR="00E21534" w:rsidRDefault="00E21534" w:rsidP="00E21534">
      <w:pPr>
        <w:ind w:left="1080"/>
      </w:pPr>
    </w:p>
    <w:p w14:paraId="651C47B9" w14:textId="05DCE8AA" w:rsidR="00E21534" w:rsidRDefault="00DB4FD4" w:rsidP="00DB4FD4">
      <w:pPr>
        <w:ind w:left="1080"/>
      </w:pPr>
      <w:r w:rsidRPr="00B6315B">
        <w:t>Equivalently, Z</w:t>
      </w:r>
      <w:r>
        <w:rPr>
          <w:vertAlign w:val="subscript"/>
        </w:rPr>
        <w:t>0.975</w:t>
      </w:r>
      <w:r>
        <w:t xml:space="preserve"> </w:t>
      </w:r>
      <w:r w:rsidRPr="00B6315B">
        <w:t>=</w:t>
      </w:r>
      <w:r>
        <w:t xml:space="preserve"> 1.96</w:t>
      </w:r>
      <w:r w:rsidRPr="00B6315B">
        <w:t>.</w:t>
      </w:r>
      <w:r>
        <w:t xml:space="preserve"> T</w:t>
      </w:r>
      <w:r w:rsidR="00E21534">
        <w:t>h</w:t>
      </w:r>
      <w:r w:rsidR="00446566">
        <w:t>is</w:t>
      </w:r>
      <w:r w:rsidR="00E21534">
        <w:t xml:space="preserve"> model can be </w:t>
      </w:r>
      <w:r>
        <w:t>re-</w:t>
      </w:r>
      <w:r w:rsidR="00E21534">
        <w:t xml:space="preserve">expressed as </w:t>
      </w:r>
    </w:p>
    <w:p w14:paraId="5C6400E1" w14:textId="2E98B9EC" w:rsidR="00E21534" w:rsidRDefault="00E21534" w:rsidP="00E21534">
      <w:pPr>
        <w:ind w:left="1080"/>
      </w:pPr>
    </w:p>
    <w:p w14:paraId="60BE3196" w14:textId="77777777" w:rsidR="00E21534" w:rsidRDefault="00E21534" w:rsidP="00DB4FD4">
      <w:pPr>
        <w:pStyle w:val="ListParagraph"/>
        <w:ind w:left="1440"/>
      </w:pPr>
      <w:r>
        <w:sym w:font="Symbol" w:char="F070"/>
      </w:r>
      <w:r>
        <w:t xml:space="preserve"> = </w:t>
      </w:r>
      <w:r>
        <w:sym w:font="Symbol" w:char="F046"/>
      </w:r>
      <w:r>
        <w:t>(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MT Extra" w:char="F04C"/>
      </w:r>
      <w:r>
        <w:t xml:space="preserve">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  <w:r>
        <w:t>)</w:t>
      </w:r>
    </w:p>
    <w:p w14:paraId="34216B9A" w14:textId="362BB810" w:rsidR="00E21534" w:rsidRDefault="00E21534" w:rsidP="00E21534">
      <w:pPr>
        <w:ind w:left="1080"/>
      </w:pPr>
    </w:p>
    <w:p w14:paraId="4641031F" w14:textId="4CF7D962" w:rsidR="00E21534" w:rsidRDefault="00E21534" w:rsidP="00E21534">
      <w:pPr>
        <w:ind w:left="1080"/>
      </w:pPr>
      <w:r>
        <w:t xml:space="preserve">where </w:t>
      </w:r>
      <w:r>
        <w:sym w:font="Symbol" w:char="F046"/>
      </w:r>
      <w:r>
        <w:t xml:space="preserve">() is the standard normal CDF. In other words, if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MT Extra" w:char="F04C"/>
      </w:r>
      <w:r>
        <w:t xml:space="preserve">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  <w:r>
        <w:t xml:space="preserve"> = 1.96, then </w:t>
      </w:r>
      <w:r>
        <w:sym w:font="Symbol" w:char="F070"/>
      </w:r>
      <w:r>
        <w:t xml:space="preserve"> is 0.975. </w:t>
      </w:r>
    </w:p>
    <w:p w14:paraId="5B5B6CE7" w14:textId="2DC76F1B" w:rsidR="00E21534" w:rsidRDefault="00E21534" w:rsidP="00E21534">
      <w:pPr>
        <w:ind w:left="1080"/>
      </w:pPr>
    </w:p>
    <w:p w14:paraId="56FE217E" w14:textId="5267BCB1" w:rsidR="00E21534" w:rsidRPr="00E21534" w:rsidRDefault="00E21534" w:rsidP="00E21534">
      <w:pPr>
        <w:ind w:left="1080"/>
      </w:pPr>
      <w:r w:rsidRPr="00E21534">
        <w:t xml:space="preserve">The term </w:t>
      </w:r>
      <w:r>
        <w:t>“</w:t>
      </w:r>
      <w:r w:rsidRPr="00E21534">
        <w:t>probit</w:t>
      </w:r>
      <w:r>
        <w:t>”</w:t>
      </w:r>
      <w:r w:rsidRPr="00E21534">
        <w:t xml:space="preserve"> is a shortened version of “probability unit” (Hubert, 1992). Chapter 8 of Salsburg (2001) gives  an interesting account of how this model was developed by Chester Bliss.</w:t>
      </w:r>
    </w:p>
    <w:p w14:paraId="353CB053" w14:textId="77777777" w:rsidR="005C2A5C" w:rsidRDefault="005C2A5C" w:rsidP="005C2A5C">
      <w:pPr>
        <w:pStyle w:val="ListParagraph"/>
        <w:ind w:left="1080"/>
      </w:pPr>
    </w:p>
    <w:p w14:paraId="02C20DB1" w14:textId="77777777" w:rsidR="005C2A5C" w:rsidRDefault="005C2A5C" w:rsidP="005C2A5C">
      <w:pPr>
        <w:pStyle w:val="ListParagraph"/>
        <w:numPr>
          <w:ilvl w:val="0"/>
          <w:numId w:val="8"/>
        </w:numPr>
      </w:pPr>
      <w:r>
        <w:t xml:space="preserve">Complementary log-log model: </w:t>
      </w:r>
    </w:p>
    <w:p w14:paraId="206E1181" w14:textId="77777777" w:rsidR="005C2A5C" w:rsidRDefault="005C2A5C" w:rsidP="005C2A5C">
      <w:pPr>
        <w:pStyle w:val="ListParagraph"/>
        <w:ind w:left="1080"/>
      </w:pPr>
    </w:p>
    <w:p w14:paraId="0BE36637" w14:textId="77777777" w:rsidR="00E21534" w:rsidRDefault="00E21534" w:rsidP="00E21534">
      <w:pPr>
        <w:ind w:left="1440"/>
      </w:pPr>
      <w:r>
        <w:t xml:space="preserve">log[-log(1 – </w:t>
      </w:r>
      <w:r>
        <w:sym w:font="Symbol" w:char="F070"/>
      </w:r>
      <w:r>
        <w:t xml:space="preserve">)]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MT Extra" w:char="F04C"/>
      </w:r>
      <w:r>
        <w:t xml:space="preserve"> </w:t>
      </w:r>
      <w:r>
        <w:sym w:font="Symbol" w:char="F062"/>
      </w:r>
      <w:r>
        <w:rPr>
          <w:vertAlign w:val="subscript"/>
        </w:rPr>
        <w:t>p</w:t>
      </w:r>
      <w:r>
        <w:t>x</w:t>
      </w:r>
      <w:r>
        <w:rPr>
          <w:vertAlign w:val="subscript"/>
        </w:rPr>
        <w:t>p</w:t>
      </w:r>
    </w:p>
    <w:p w14:paraId="3B83A5C5" w14:textId="77777777" w:rsidR="00E21534" w:rsidRDefault="00E21534" w:rsidP="00E21534">
      <w:pPr>
        <w:pStyle w:val="ListParagraph"/>
        <w:ind w:left="2160"/>
      </w:pPr>
    </w:p>
    <w:p w14:paraId="64256A22" w14:textId="0AF599E4" w:rsidR="00E21534" w:rsidRDefault="00E21534" w:rsidP="00E21534">
      <w:pPr>
        <w:pStyle w:val="Header"/>
        <w:ind w:left="1080"/>
      </w:pPr>
      <w:r>
        <w:t>Solving</w:t>
      </w:r>
      <w:r w:rsidR="005A0A92">
        <w:t xml:space="preserve"> </w:t>
      </w:r>
      <w:r w:rsidR="005A0A92">
        <w:sym w:font="Symbol" w:char="F070"/>
      </w:r>
      <w:r>
        <w:t>, we obtain</w:t>
      </w:r>
    </w:p>
    <w:p w14:paraId="4102C05A" w14:textId="77777777" w:rsidR="00E21534" w:rsidRDefault="00E21534" w:rsidP="00E21534">
      <w:pPr>
        <w:pStyle w:val="ListParagraph"/>
        <w:ind w:left="2160"/>
      </w:pPr>
    </w:p>
    <w:p w14:paraId="253F76D1" w14:textId="7E774799" w:rsidR="00E21534" w:rsidRDefault="00E21534" w:rsidP="00DB4FD4">
      <w:pPr>
        <w:pStyle w:val="ListParagraph"/>
        <w:ind w:left="1440"/>
      </w:pPr>
      <w:r>
        <w:lastRenderedPageBreak/>
        <w:sym w:font="Symbol" w:char="F070"/>
      </w:r>
      <w:r>
        <w:t xml:space="preserve"> = 1 – exp[-exp(</w:t>
      </w:r>
      <w:r>
        <w:sym w:font="Symbol" w:char="F062"/>
      </w:r>
      <w:r w:rsidRPr="001345CB">
        <w:rPr>
          <w:vertAlign w:val="subscript"/>
        </w:rPr>
        <w:t>0</w:t>
      </w:r>
      <w:r>
        <w:t xml:space="preserve"> + </w:t>
      </w:r>
      <w:r>
        <w:sym w:font="Symbol" w:char="F062"/>
      </w:r>
      <w:r w:rsidRPr="001345CB">
        <w:rPr>
          <w:vertAlign w:val="subscript"/>
        </w:rPr>
        <w:t>1</w:t>
      </w:r>
      <w:r>
        <w:t>x</w:t>
      </w:r>
      <w:r w:rsidRPr="001345CB">
        <w:rPr>
          <w:vertAlign w:val="subscript"/>
        </w:rPr>
        <w:t>1</w:t>
      </w:r>
      <w:r>
        <w:t xml:space="preserve"> + </w:t>
      </w:r>
      <w:r>
        <w:sym w:font="MT Extra" w:char="F04C"/>
      </w:r>
      <w:r>
        <w:t xml:space="preserve"> </w:t>
      </w:r>
      <w:r>
        <w:sym w:font="Symbol" w:char="F062"/>
      </w:r>
      <w:r w:rsidRPr="001345CB">
        <w:rPr>
          <w:vertAlign w:val="subscript"/>
        </w:rPr>
        <w:t>p</w:t>
      </w:r>
      <w:r>
        <w:t>x</w:t>
      </w:r>
      <w:r w:rsidRPr="001345CB">
        <w:rPr>
          <w:vertAlign w:val="subscript"/>
        </w:rPr>
        <w:t>p</w:t>
      </w:r>
      <w:r>
        <w:t>)]</w:t>
      </w:r>
    </w:p>
    <w:p w14:paraId="2436E844" w14:textId="77777777" w:rsidR="00E21534" w:rsidRDefault="00E21534" w:rsidP="00E21534">
      <w:pPr>
        <w:pStyle w:val="Header"/>
        <w:ind w:left="1170" w:hanging="90"/>
      </w:pPr>
    </w:p>
    <w:p w14:paraId="6E7337C2" w14:textId="2F383319" w:rsidR="00E21534" w:rsidRDefault="00E21534" w:rsidP="00E21534">
      <w:pPr>
        <w:pStyle w:val="Header"/>
        <w:ind w:left="1170" w:hanging="90"/>
      </w:pPr>
      <w:r>
        <w:t xml:space="preserve">Thus, </w:t>
      </w:r>
      <w:r w:rsidRPr="001345CB">
        <w:t>the mode</w:t>
      </w:r>
      <w:r>
        <w:t xml:space="preserve">l's name comes from using 1 – </w:t>
      </w:r>
      <w:r>
        <w:sym w:font="Symbol" w:char="F070"/>
      </w:r>
      <w:r>
        <w:t xml:space="preserve"> </w:t>
      </w:r>
      <w:r w:rsidRPr="001345CB">
        <w:t>(which is like using P(A</w:t>
      </w:r>
      <w:r>
        <w:rPr>
          <w:vertAlign w:val="superscript"/>
        </w:rPr>
        <w:t>c</w:t>
      </w:r>
      <w:r w:rsidRPr="001345CB">
        <w:t>)</w:t>
      </w:r>
      <w:r>
        <w:t xml:space="preserve"> </w:t>
      </w:r>
      <w:r w:rsidRPr="001345CB">
        <w:t>=</w:t>
      </w:r>
      <w:r>
        <w:t xml:space="preserve"> </w:t>
      </w:r>
      <w:r w:rsidRPr="001345CB">
        <w:t>1-P(A) where A</w:t>
      </w:r>
      <w:r>
        <w:rPr>
          <w:vertAlign w:val="superscript"/>
        </w:rPr>
        <w:t>c</w:t>
      </w:r>
      <w:r w:rsidRPr="001345CB">
        <w:t xml:space="preserve">  </w:t>
      </w:r>
      <w:r>
        <w:t>is the complement of an event A</w:t>
      </w:r>
      <w:r w:rsidRPr="001345CB">
        <w:t>) and a double log transformation.</w:t>
      </w:r>
    </w:p>
    <w:p w14:paraId="0EBDE65D" w14:textId="77777777" w:rsidR="00E21534" w:rsidRDefault="00E21534" w:rsidP="00E21534">
      <w:pPr>
        <w:pStyle w:val="Header"/>
        <w:ind w:left="1440"/>
      </w:pPr>
    </w:p>
    <w:p w14:paraId="2B3F0197" w14:textId="37D959DF" w:rsidR="000151E2" w:rsidRDefault="009C0CFB" w:rsidP="000151E2">
      <w:pPr>
        <w:ind w:left="720"/>
      </w:pPr>
      <w:r>
        <w:t xml:space="preserve">Why are these link functions used? </w:t>
      </w:r>
      <w:r w:rsidR="00DB4FD4">
        <w:t>T</w:t>
      </w:r>
      <w:r w:rsidR="000151E2">
        <w:t xml:space="preserve">he </w:t>
      </w:r>
      <w:r w:rsidR="000151E2" w:rsidRPr="000151E2">
        <w:rPr>
          <w:i/>
        </w:rPr>
        <w:t>inverse</w:t>
      </w:r>
      <w:r w:rsidR="000151E2">
        <w:t xml:space="preserve"> link function </w:t>
      </w:r>
      <w:r w:rsidR="00DB4FD4">
        <w:t xml:space="preserve">needs to be chosen to </w:t>
      </w:r>
      <w:r w:rsidR="000151E2">
        <w:t xml:space="preserve"> guarantee 0 &lt; </w:t>
      </w:r>
      <w:r w:rsidR="000151E2">
        <w:sym w:font="Symbol" w:char="F070"/>
      </w:r>
      <w:r w:rsidR="000151E2">
        <w:t xml:space="preserve"> &lt; 1. For example, the inverse link function for logistic regression is the </w:t>
      </w:r>
      <w:r w:rsidR="00DB4FD4" w:rsidRPr="00B12E46">
        <w:rPr>
          <w:position w:val="-14"/>
        </w:rPr>
        <w:object w:dxaOrig="3140" w:dyaOrig="480" w14:anchorId="6CD0FBC1">
          <v:shape id="_x0000_i1026" type="#_x0000_t75" style="width:159pt;height:24pt" o:ole="">
            <v:imagedata r:id="rId10" o:title=""/>
          </v:shape>
          <o:OLEObject Type="Embed" ProgID="Equation.DSMT4" ShapeID="_x0000_i1026" DrawAspect="Content" ObjectID="_1735037214" r:id="rId11"/>
        </w:object>
      </w:r>
      <w:r w:rsidR="00C170F2">
        <w:t xml:space="preserve"> </w:t>
      </w:r>
      <w:r w:rsidR="000151E2">
        <w:t xml:space="preserve">transformation: </w:t>
      </w:r>
    </w:p>
    <w:p w14:paraId="2B2CB5C1" w14:textId="77777777" w:rsidR="000151E2" w:rsidRDefault="000151E2" w:rsidP="000151E2">
      <w:pPr>
        <w:ind w:left="720"/>
      </w:pPr>
    </w:p>
    <w:p w14:paraId="6D4573EB" w14:textId="08D5B588" w:rsidR="000151E2" w:rsidRDefault="00DB4FD4" w:rsidP="000151E2">
      <w:pPr>
        <w:ind w:left="1440"/>
      </w:pPr>
      <w:r w:rsidRPr="00C170F2">
        <w:rPr>
          <w:position w:val="-46"/>
        </w:rPr>
        <w:object w:dxaOrig="5500" w:dyaOrig="1080" w14:anchorId="2856FB53">
          <v:shape id="_x0000_i1027" type="#_x0000_t75" style="width:280.5pt;height:54pt" o:ole="">
            <v:imagedata r:id="rId12" o:title=""/>
          </v:shape>
          <o:OLEObject Type="Embed" ProgID="Equation.DSMT4" ShapeID="_x0000_i1027" DrawAspect="Content" ObjectID="_1735037215" r:id="rId13"/>
        </w:object>
      </w:r>
      <w:r w:rsidR="000151E2">
        <w:t xml:space="preserve"> </w:t>
      </w:r>
    </w:p>
    <w:p w14:paraId="1C7CF12A" w14:textId="77777777" w:rsidR="000151E2" w:rsidRDefault="000151E2" w:rsidP="000151E2">
      <w:pPr>
        <w:ind w:left="720"/>
      </w:pPr>
    </w:p>
    <w:p w14:paraId="003C963A" w14:textId="449386A6" w:rsidR="000151E2" w:rsidRDefault="007257AB" w:rsidP="000151E2">
      <w:pPr>
        <w:ind w:left="720"/>
      </w:pPr>
      <w:r>
        <w:t>I</w:t>
      </w:r>
      <w:r w:rsidR="000151E2">
        <w:t xml:space="preserve">nverse link functions used in practice are based on cumulative distribution functions (CDFs) for random variables. </w:t>
      </w:r>
      <w:r>
        <w:t>T</w:t>
      </w:r>
      <w:r w:rsidR="000151E2" w:rsidRPr="000151E2">
        <w:t>he CDF of a logis</w:t>
      </w:r>
      <w:r w:rsidR="00446566">
        <w:t xml:space="preserve">tic probability distribution is </w:t>
      </w:r>
      <w:r w:rsidR="000151E2" w:rsidRPr="000151E2">
        <w:t>used for logistic regression, which results in the name for the model.</w:t>
      </w:r>
    </w:p>
    <w:p w14:paraId="2F5BEADD" w14:textId="77777777" w:rsidR="007257AB" w:rsidRDefault="007257AB" w:rsidP="000151E2">
      <w:pPr>
        <w:ind w:left="720"/>
      </w:pPr>
    </w:p>
    <w:p w14:paraId="744DF82D" w14:textId="02DE80D8" w:rsidR="007257AB" w:rsidRDefault="00C170F2" w:rsidP="000151E2">
      <w:pPr>
        <w:ind w:left="720"/>
      </w:pPr>
      <w:r>
        <w:t>CDF r</w:t>
      </w:r>
      <w:r w:rsidR="007257AB">
        <w:t>eview:</w:t>
      </w:r>
    </w:p>
    <w:p w14:paraId="6E36C10B" w14:textId="77777777" w:rsidR="000151E2" w:rsidRDefault="000151E2" w:rsidP="000151E2">
      <w:pPr>
        <w:ind w:left="720"/>
      </w:pPr>
    </w:p>
    <w:p w14:paraId="4598B603" w14:textId="2E520246" w:rsidR="000151E2" w:rsidRPr="000151E2" w:rsidRDefault="000151E2" w:rsidP="000151E2">
      <w:pPr>
        <w:ind w:left="1440"/>
      </w:pPr>
      <w:r>
        <w:t xml:space="preserve">Let X be a continuous random variable with probability density function f(x). An observed value of X is denoted by x. </w:t>
      </w:r>
      <w:r>
        <w:rPr>
          <w:szCs w:val="24"/>
        </w:rPr>
        <w:t xml:space="preserve">The </w:t>
      </w:r>
      <w:r w:rsidR="00910BE4">
        <w:rPr>
          <w:szCs w:val="24"/>
        </w:rPr>
        <w:t>CDF</w:t>
      </w:r>
      <w:r>
        <w:rPr>
          <w:szCs w:val="24"/>
        </w:rPr>
        <w:t xml:space="preserve"> of X is F(x) = P(X</w:t>
      </w:r>
      <w:r>
        <w:rPr>
          <w:szCs w:val="24"/>
        </w:rPr>
        <w:sym w:font="Euclid Symbol" w:char="F0A3"/>
      </w:r>
      <w:r>
        <w:rPr>
          <w:szCs w:val="24"/>
        </w:rPr>
        <w:t xml:space="preserve">x) = </w:t>
      </w:r>
      <w:r>
        <w:rPr>
          <w:position w:val="-38"/>
        </w:rPr>
        <w:object w:dxaOrig="1480" w:dyaOrig="960" w14:anchorId="2BF45B52">
          <v:shape id="_x0000_i1028" type="#_x0000_t75" style="width:74.25pt;height:46.5pt" o:ole="">
            <v:imagedata r:id="rId14" o:title=""/>
          </v:shape>
          <o:OLEObject Type="Embed" ProgID="Equation.DSMT4" ShapeID="_x0000_i1028" DrawAspect="Content" ObjectID="_1735037216" r:id="rId15"/>
        </w:object>
      </w:r>
      <w:r>
        <w:rPr>
          <w:szCs w:val="24"/>
        </w:rPr>
        <w:t xml:space="preserve">.  Note that u is substituted into the probability </w:t>
      </w:r>
      <w:r w:rsidR="00FC1331">
        <w:rPr>
          <w:szCs w:val="24"/>
        </w:rPr>
        <w:lastRenderedPageBreak/>
        <w:t>density</w:t>
      </w:r>
      <w:r>
        <w:rPr>
          <w:szCs w:val="24"/>
        </w:rPr>
        <w:t xml:space="preserve"> function to avoid confusion with the upper limit of integration. If X is a discrete random variable, the </w:t>
      </w:r>
      <w:r w:rsidR="00910BE4">
        <w:rPr>
          <w:szCs w:val="24"/>
        </w:rPr>
        <w:t>CDF</w:t>
      </w:r>
      <w:r>
        <w:rPr>
          <w:szCs w:val="24"/>
        </w:rPr>
        <w:t xml:space="preserve"> of X is F(x) = P(X</w:t>
      </w:r>
      <w:r>
        <w:rPr>
          <w:szCs w:val="24"/>
        </w:rPr>
        <w:sym w:font="Euclid Symbol" w:char="F0A3"/>
      </w:r>
      <w:r>
        <w:rPr>
          <w:szCs w:val="24"/>
        </w:rPr>
        <w:t xml:space="preserve">x) = </w:t>
      </w:r>
      <w:r w:rsidRPr="00642381">
        <w:rPr>
          <w:position w:val="-34"/>
        </w:rPr>
        <w:object w:dxaOrig="1040" w:dyaOrig="900" w14:anchorId="58602D28">
          <v:shape id="_x0000_i1029" type="#_x0000_t75" style="width:52.5pt;height:45.75pt" o:ole="">
            <v:imagedata r:id="rId16" o:title=""/>
          </v:shape>
          <o:OLEObject Type="Embed" ProgID="Equation.DSMT4" ShapeID="_x0000_i1029" DrawAspect="Content" ObjectID="_1735037217" r:id="rId17"/>
        </w:object>
      </w:r>
      <w:r>
        <w:t xml:space="preserve"> = </w:t>
      </w:r>
      <w:r w:rsidRPr="00642381">
        <w:rPr>
          <w:position w:val="-34"/>
        </w:rPr>
        <w:object w:dxaOrig="1860" w:dyaOrig="900" w14:anchorId="7CB14599">
          <v:shape id="_x0000_i1030" type="#_x0000_t75" style="width:93.75pt;height:45.75pt" o:ole="">
            <v:imagedata r:id="rId18" o:title=""/>
          </v:shape>
          <o:OLEObject Type="Embed" ProgID="Equation.DSMT4" ShapeID="_x0000_i1030" DrawAspect="Content" ObjectID="_1735037218" r:id="rId19"/>
        </w:object>
      </w:r>
      <w:r>
        <w:t xml:space="preserve"> where the sum is over all values of X </w:t>
      </w:r>
      <w:r>
        <w:sym w:font="Symbol" w:char="F0A3"/>
      </w:r>
      <w:r>
        <w:t xml:space="preserve"> x</w:t>
      </w:r>
      <w:r>
        <w:rPr>
          <w:szCs w:val="24"/>
        </w:rPr>
        <w:t xml:space="preserve">.  </w:t>
      </w:r>
    </w:p>
    <w:p w14:paraId="0E8B640A" w14:textId="77777777" w:rsidR="000151E2" w:rsidRDefault="000151E2" w:rsidP="000151E2">
      <w:pPr>
        <w:ind w:left="720"/>
        <w:rPr>
          <w:szCs w:val="24"/>
        </w:rPr>
      </w:pPr>
    </w:p>
    <w:p w14:paraId="14898A09" w14:textId="77777777" w:rsidR="000151E2" w:rsidRDefault="000151E2" w:rsidP="00DF3E28">
      <w:pPr>
        <w:ind w:left="720"/>
        <w:rPr>
          <w:szCs w:val="24"/>
        </w:rPr>
      </w:pPr>
      <w:r>
        <w:rPr>
          <w:szCs w:val="24"/>
        </w:rPr>
        <w:t xml:space="preserve">An informal definition is the </w:t>
      </w:r>
      <w:r w:rsidR="002C119C">
        <w:rPr>
          <w:szCs w:val="24"/>
        </w:rPr>
        <w:t>CDF</w:t>
      </w:r>
      <w:r>
        <w:rPr>
          <w:szCs w:val="24"/>
        </w:rPr>
        <w:t xml:space="preserve"> “cumulates” probabilities as a function of x.  </w:t>
      </w:r>
    </w:p>
    <w:p w14:paraId="7B8129CC" w14:textId="77777777" w:rsidR="000151E2" w:rsidRDefault="000151E2" w:rsidP="00DF3E28">
      <w:pPr>
        <w:ind w:left="720"/>
        <w:rPr>
          <w:szCs w:val="24"/>
        </w:rPr>
      </w:pPr>
    </w:p>
    <w:p w14:paraId="2CBD4001" w14:textId="77777777" w:rsidR="002C119C" w:rsidRDefault="002C119C" w:rsidP="000151E2">
      <w:pPr>
        <w:ind w:left="720"/>
      </w:pPr>
    </w:p>
    <w:p w14:paraId="734D3EB3" w14:textId="40D3CC9F" w:rsidR="002C119C" w:rsidRDefault="002C119C" w:rsidP="002C119C">
      <w:pPr>
        <w:pStyle w:val="BodyTextIndent2"/>
        <w:ind w:left="0"/>
      </w:pPr>
      <w:r>
        <w:rPr>
          <w:u w:val="single"/>
        </w:rPr>
        <w:t>Example</w:t>
      </w:r>
      <w:r>
        <w:t xml:space="preserve">: </w:t>
      </w:r>
      <w:r w:rsidR="004066B8">
        <w:t xml:space="preserve">Logistic probability </w:t>
      </w:r>
      <w:r>
        <w:t>distribution</w:t>
      </w:r>
      <w:r w:rsidR="004066B8">
        <w:t xml:space="preserve"> (</w:t>
      </w:r>
      <w:r w:rsidR="00FC1331">
        <w:t>L</w:t>
      </w:r>
      <w:r w:rsidR="004066B8">
        <w:t>ogistic.R)</w:t>
      </w:r>
      <w:r>
        <w:t xml:space="preserve"> </w:t>
      </w:r>
    </w:p>
    <w:p w14:paraId="756B5F25" w14:textId="77777777" w:rsidR="002C119C" w:rsidRDefault="002C119C" w:rsidP="002C119C">
      <w:pPr>
        <w:pStyle w:val="BodyTextIndent2"/>
        <w:ind w:left="0"/>
      </w:pPr>
    </w:p>
    <w:p w14:paraId="332E140A" w14:textId="64FEC84C" w:rsidR="004066B8" w:rsidRDefault="00FC1331" w:rsidP="002C119C">
      <w:pPr>
        <w:pStyle w:val="Header"/>
        <w:ind w:left="720"/>
      </w:pPr>
      <w:r>
        <w:t xml:space="preserve">A random variable X </w:t>
      </w:r>
      <w:r w:rsidR="004066B8" w:rsidRPr="004066B8">
        <w:t xml:space="preserve">with a logistic probability distribution has a </w:t>
      </w:r>
      <w:r w:rsidR="005B06C7">
        <w:t>probability density function</w:t>
      </w:r>
      <w:r w:rsidR="004066B8" w:rsidRPr="004066B8">
        <w:t xml:space="preserve"> of</w:t>
      </w:r>
    </w:p>
    <w:p w14:paraId="09C39861" w14:textId="77777777" w:rsidR="004066B8" w:rsidRDefault="004066B8" w:rsidP="002C119C">
      <w:pPr>
        <w:pStyle w:val="Header"/>
        <w:ind w:left="720"/>
      </w:pPr>
    </w:p>
    <w:p w14:paraId="2FB9856D" w14:textId="4B31A2DE" w:rsidR="004066B8" w:rsidRDefault="00C07565" w:rsidP="00A4329D">
      <w:pPr>
        <w:pStyle w:val="Header"/>
        <w:ind w:left="1440"/>
      </w:pPr>
      <w:r w:rsidRPr="00C07565">
        <w:rPr>
          <w:position w:val="-58"/>
        </w:rPr>
        <w:object w:dxaOrig="4940" w:dyaOrig="1240" w14:anchorId="37C7F844">
          <v:shape id="_x0000_i1031" type="#_x0000_t75" style="width:247.5pt;height:61.5pt" o:ole="">
            <v:imagedata r:id="rId20" o:title=""/>
          </v:shape>
          <o:OLEObject Type="Embed" ProgID="Equation.DSMT4" ShapeID="_x0000_i1031" DrawAspect="Content" ObjectID="_1735037219" r:id="rId21"/>
        </w:object>
      </w:r>
    </w:p>
    <w:p w14:paraId="7B40654F" w14:textId="77777777" w:rsidR="004066B8" w:rsidRDefault="004066B8" w:rsidP="002C119C">
      <w:pPr>
        <w:pStyle w:val="Header"/>
        <w:ind w:left="720"/>
      </w:pPr>
    </w:p>
    <w:p w14:paraId="707B892C" w14:textId="77777777" w:rsidR="00A4329D" w:rsidRDefault="00A4329D" w:rsidP="00A4329D">
      <w:pPr>
        <w:pStyle w:val="Header"/>
        <w:ind w:left="720"/>
      </w:pPr>
      <w:r w:rsidRPr="00A4329D">
        <w:t xml:space="preserve">for </w:t>
      </w:r>
      <w:r w:rsidR="00D844E1">
        <w:t>-</w:t>
      </w:r>
      <w:r>
        <w:sym w:font="Symbol" w:char="F0A5"/>
      </w:r>
      <w:r>
        <w:t xml:space="preserve"> </w:t>
      </w:r>
      <w:r w:rsidRPr="00A4329D">
        <w:t>&lt;</w:t>
      </w:r>
      <w:r>
        <w:t xml:space="preserve"> </w:t>
      </w:r>
      <w:r w:rsidRPr="00A4329D">
        <w:t>x</w:t>
      </w:r>
      <w:r>
        <w:t xml:space="preserve"> </w:t>
      </w:r>
      <w:r w:rsidRPr="00A4329D">
        <w:t>&lt;</w:t>
      </w:r>
      <w:r>
        <w:t xml:space="preserve"> </w:t>
      </w:r>
      <w:r>
        <w:sym w:font="Symbol" w:char="F0A5"/>
      </w:r>
      <w:r>
        <w:t xml:space="preserve"> </w:t>
      </w:r>
      <w:r w:rsidRPr="00A4329D">
        <w:t xml:space="preserve">and parameters </w:t>
      </w:r>
      <w:r w:rsidR="00D844E1">
        <w:t>-</w:t>
      </w:r>
      <w:r>
        <w:sym w:font="Symbol" w:char="F0A5"/>
      </w:r>
      <w:r>
        <w:t xml:space="preserve"> </w:t>
      </w:r>
      <w:r w:rsidRPr="00A4329D">
        <w:t>&lt;</w:t>
      </w:r>
      <w:r>
        <w:t xml:space="preserve"> </w:t>
      </w:r>
      <w:r>
        <w:sym w:font="Symbol" w:char="F06D"/>
      </w:r>
      <w:r>
        <w:t xml:space="preserve"> </w:t>
      </w:r>
      <w:r w:rsidRPr="00A4329D">
        <w:t>&lt;</w:t>
      </w:r>
      <w:r>
        <w:t xml:space="preserve"> </w:t>
      </w:r>
      <w:r>
        <w:sym w:font="Symbol" w:char="F0A5"/>
      </w:r>
      <w:r>
        <w:t xml:space="preserve"> </w:t>
      </w:r>
      <w:r w:rsidRPr="00A4329D">
        <w:t xml:space="preserve">and </w:t>
      </w:r>
      <w:r>
        <w:sym w:font="Symbol" w:char="F073"/>
      </w:r>
      <w:r>
        <w:t xml:space="preserve"> </w:t>
      </w:r>
      <w:r w:rsidRPr="00A4329D">
        <w:t>&gt;</w:t>
      </w:r>
      <w:r>
        <w:t xml:space="preserve"> 0</w:t>
      </w:r>
      <w:r w:rsidRPr="00A4329D">
        <w:t>. The CDF is</w:t>
      </w:r>
      <w:r>
        <w:t xml:space="preserve"> </w:t>
      </w:r>
    </w:p>
    <w:p w14:paraId="4E4A5864" w14:textId="77777777" w:rsidR="00A4329D" w:rsidRDefault="00A4329D" w:rsidP="00A4329D">
      <w:pPr>
        <w:pStyle w:val="Header"/>
        <w:ind w:left="720"/>
      </w:pPr>
    </w:p>
    <w:p w14:paraId="152DD477" w14:textId="061FBC2E" w:rsidR="00A4329D" w:rsidRDefault="00B21168" w:rsidP="00A4329D">
      <w:pPr>
        <w:pStyle w:val="Header"/>
        <w:ind w:left="1440"/>
      </w:pPr>
      <w:r w:rsidRPr="00C07565">
        <w:rPr>
          <w:position w:val="-160"/>
        </w:rPr>
        <w:object w:dxaOrig="5840" w:dyaOrig="3580" w14:anchorId="0D8C21F2">
          <v:shape id="_x0000_i1032" type="#_x0000_t75" style="width:291.75pt;height:177.75pt" o:ole="">
            <v:imagedata r:id="rId22" o:title=""/>
          </v:shape>
          <o:OLEObject Type="Embed" ProgID="Equation.DSMT4" ShapeID="_x0000_i1032" DrawAspect="Content" ObjectID="_1735037220" r:id="rId23"/>
        </w:object>
      </w:r>
    </w:p>
    <w:p w14:paraId="1A3C8E6F" w14:textId="77777777" w:rsidR="005B06C7" w:rsidRDefault="005B06C7" w:rsidP="002C119C">
      <w:pPr>
        <w:pStyle w:val="Header"/>
        <w:ind w:left="720"/>
      </w:pPr>
    </w:p>
    <w:p w14:paraId="2030EA74" w14:textId="77777777" w:rsidR="004066B8" w:rsidRDefault="00D844E1" w:rsidP="002C119C">
      <w:pPr>
        <w:pStyle w:val="Header"/>
        <w:ind w:left="720"/>
      </w:pPr>
      <w:r>
        <w:t xml:space="preserve">Below is a plot of the PDF and CDF for </w:t>
      </w:r>
      <w:r>
        <w:sym w:font="Symbol" w:char="F06D"/>
      </w:r>
      <w:r>
        <w:t xml:space="preserve"> = -2 and </w:t>
      </w:r>
      <w:r>
        <w:sym w:font="Symbol" w:char="F073"/>
      </w:r>
      <w:r>
        <w:t xml:space="preserve"> = 2. </w:t>
      </w:r>
    </w:p>
    <w:p w14:paraId="0F9F2B7A" w14:textId="7F5BE1E2" w:rsidR="004066B8" w:rsidRDefault="00FC1331" w:rsidP="00C24E8B">
      <w:pPr>
        <w:pStyle w:val="Header"/>
      </w:pPr>
      <w:r w:rsidRPr="00FC1331">
        <w:rPr>
          <w:noProof/>
        </w:rPr>
        <w:drawing>
          <wp:inline distT="0" distB="0" distL="0" distR="0" wp14:anchorId="4A73D6B2" wp14:editId="21573DCF">
            <wp:extent cx="6804837" cy="406358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74" b="34883"/>
                    <a:stretch/>
                  </pic:blipFill>
                  <pic:spPr bwMode="auto">
                    <a:xfrm>
                      <a:off x="0" y="0"/>
                      <a:ext cx="6812095" cy="40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397CC" w14:textId="0B6B15A0" w:rsidR="00C24E8B" w:rsidRDefault="00C24E8B" w:rsidP="005F4945">
      <w:pPr>
        <w:pStyle w:val="R-14"/>
      </w:pPr>
      <w:r>
        <w:t>&gt; mu</w:t>
      </w:r>
      <w:r w:rsidR="00AF50E9">
        <w:t xml:space="preserve"> </w:t>
      </w:r>
      <w:r>
        <w:t>&lt;-</w:t>
      </w:r>
      <w:r w:rsidR="00AF50E9">
        <w:t xml:space="preserve"> </w:t>
      </w:r>
      <w:r>
        <w:t>-2</w:t>
      </w:r>
    </w:p>
    <w:p w14:paraId="69F35AF4" w14:textId="063B783D" w:rsidR="00C24E8B" w:rsidRDefault="00C24E8B" w:rsidP="005F4945">
      <w:pPr>
        <w:pStyle w:val="R-14"/>
      </w:pPr>
      <w:r>
        <w:t>&gt; sigma</w:t>
      </w:r>
      <w:r w:rsidR="00AF50E9">
        <w:t xml:space="preserve"> </w:t>
      </w:r>
      <w:r>
        <w:t>&lt;-</w:t>
      </w:r>
      <w:r w:rsidR="00337E84">
        <w:t xml:space="preserve"> </w:t>
      </w:r>
      <w:r>
        <w:t>2</w:t>
      </w:r>
    </w:p>
    <w:p w14:paraId="37F5276C" w14:textId="77777777" w:rsidR="00C24E8B" w:rsidRDefault="00C24E8B" w:rsidP="005F4945">
      <w:pPr>
        <w:pStyle w:val="R-14"/>
      </w:pPr>
      <w:r>
        <w:t xml:space="preserve"> </w:t>
      </w:r>
    </w:p>
    <w:p w14:paraId="52F61979" w14:textId="77777777" w:rsidR="00C24E8B" w:rsidRDefault="00C24E8B" w:rsidP="005F4945">
      <w:pPr>
        <w:pStyle w:val="R-14"/>
      </w:pPr>
      <w:r>
        <w:t>&gt; #Examples for f(-2) and F(-2)</w:t>
      </w:r>
    </w:p>
    <w:p w14:paraId="463C1C7C" w14:textId="77777777" w:rsidR="00C24E8B" w:rsidRDefault="00C24E8B" w:rsidP="005F4945">
      <w:pPr>
        <w:pStyle w:val="R-14"/>
      </w:pPr>
      <w:r>
        <w:t>&gt; dlogis(x = -2, location = mu, scale = sigma)</w:t>
      </w:r>
    </w:p>
    <w:p w14:paraId="0B1D9F9C" w14:textId="77777777" w:rsidR="00C24E8B" w:rsidRDefault="00C24E8B" w:rsidP="005F4945">
      <w:pPr>
        <w:pStyle w:val="R-14"/>
      </w:pPr>
      <w:r>
        <w:t>[1] 0.125</w:t>
      </w:r>
    </w:p>
    <w:p w14:paraId="0A80DFFE" w14:textId="77777777" w:rsidR="00C24E8B" w:rsidRDefault="00C24E8B" w:rsidP="005F4945">
      <w:pPr>
        <w:pStyle w:val="R-14"/>
      </w:pPr>
      <w:r>
        <w:t>&gt; plogis(q = -2, location = mu, scale = sigma)</w:t>
      </w:r>
    </w:p>
    <w:p w14:paraId="0D1DCF38" w14:textId="77777777" w:rsidR="00C24E8B" w:rsidRDefault="00C24E8B" w:rsidP="005F4945">
      <w:pPr>
        <w:pStyle w:val="R-14"/>
      </w:pPr>
      <w:r>
        <w:t>[1] 0.5</w:t>
      </w:r>
    </w:p>
    <w:p w14:paraId="4BA356CF" w14:textId="77777777" w:rsidR="00C24E8B" w:rsidRDefault="00C24E8B" w:rsidP="005F4945">
      <w:pPr>
        <w:pStyle w:val="R-14"/>
      </w:pPr>
      <w:r>
        <w:lastRenderedPageBreak/>
        <w:t xml:space="preserve"> </w:t>
      </w:r>
    </w:p>
    <w:p w14:paraId="6E016EC4" w14:textId="0C0F05B5" w:rsidR="00E251AC" w:rsidRDefault="00E251AC" w:rsidP="005F4945">
      <w:pPr>
        <w:pStyle w:val="R-14"/>
      </w:pPr>
      <w:r>
        <w:t xml:space="preserve">&gt; </w:t>
      </w:r>
      <w:r w:rsidR="00AF50E9">
        <w:t>dev.new</w:t>
      </w:r>
      <w:r w:rsidRPr="00E251AC">
        <w:t>(width = 10, height = 6, pointsize = 12)</w:t>
      </w:r>
      <w:r>
        <w:t xml:space="preserve"> </w:t>
      </w:r>
    </w:p>
    <w:p w14:paraId="1FF78444" w14:textId="48033F74" w:rsidR="00C24E8B" w:rsidRDefault="00C24E8B" w:rsidP="005F4945">
      <w:pPr>
        <w:pStyle w:val="R-14"/>
      </w:pPr>
      <w:r>
        <w:t>&gt; par(mfrow = c(1,2))</w:t>
      </w:r>
    </w:p>
    <w:p w14:paraId="2B857D2F" w14:textId="77777777" w:rsidR="00C24E8B" w:rsidRDefault="00C24E8B" w:rsidP="005F4945">
      <w:pPr>
        <w:pStyle w:val="R-14"/>
      </w:pPr>
      <w:r>
        <w:t xml:space="preserve"> </w:t>
      </w:r>
    </w:p>
    <w:p w14:paraId="3B204286" w14:textId="77777777" w:rsidR="00C24E8B" w:rsidRDefault="00C24E8B" w:rsidP="005F4945">
      <w:pPr>
        <w:pStyle w:val="R-14"/>
      </w:pPr>
      <w:r>
        <w:t xml:space="preserve">&gt; curve(expr = dlogis(x = x, location = mu, scale = sigma), </w:t>
      </w:r>
    </w:p>
    <w:p w14:paraId="5FA4EF56" w14:textId="77777777" w:rsidR="00C24E8B" w:rsidRDefault="00C24E8B" w:rsidP="005F4945">
      <w:pPr>
        <w:pStyle w:val="R-14"/>
      </w:pPr>
      <w:r>
        <w:t xml:space="preserve">    ylab = "f(x)", xlab = "x", </w:t>
      </w:r>
      <w:r w:rsidR="00961117">
        <w:t xml:space="preserve">xlim </w:t>
      </w:r>
      <w:r>
        <w:t xml:space="preserve">= </w:t>
      </w:r>
      <w:r w:rsidR="00961117">
        <w:t>c(</w:t>
      </w:r>
      <w:r>
        <w:t>-15, 15</w:t>
      </w:r>
      <w:r w:rsidR="00961117">
        <w:t>)</w:t>
      </w:r>
      <w:r>
        <w:t xml:space="preserve">, main = </w:t>
      </w:r>
    </w:p>
    <w:p w14:paraId="753BF259" w14:textId="123C36C0" w:rsidR="00C24E8B" w:rsidRDefault="00C24E8B" w:rsidP="005F4945">
      <w:pPr>
        <w:pStyle w:val="R-14"/>
      </w:pPr>
      <w:r>
        <w:t xml:space="preserve">    </w:t>
      </w:r>
      <w:r w:rsidR="00E251AC">
        <w:t>"PDF", col = "black</w:t>
      </w:r>
      <w:r>
        <w:t>",, n = 1000)</w:t>
      </w:r>
    </w:p>
    <w:p w14:paraId="17CD30A7" w14:textId="77777777" w:rsidR="00C24E8B" w:rsidRDefault="00C24E8B" w:rsidP="005F4945">
      <w:pPr>
        <w:pStyle w:val="R-14"/>
      </w:pPr>
      <w:r>
        <w:t>&gt; abline(h = 0)</w:t>
      </w:r>
    </w:p>
    <w:p w14:paraId="35D034EF" w14:textId="77777777" w:rsidR="00C24E8B" w:rsidRDefault="00C24E8B" w:rsidP="005F4945">
      <w:pPr>
        <w:pStyle w:val="R-14"/>
      </w:pPr>
      <w:r>
        <w:t xml:space="preserve"> </w:t>
      </w:r>
    </w:p>
    <w:p w14:paraId="0F8B8C7E" w14:textId="77777777" w:rsidR="00C24E8B" w:rsidRDefault="00C24E8B" w:rsidP="005F4945">
      <w:pPr>
        <w:pStyle w:val="R-14"/>
      </w:pPr>
      <w:r>
        <w:t xml:space="preserve">&gt; curve(expr = plogis(q = x, location = mu, scale = sigma), </w:t>
      </w:r>
    </w:p>
    <w:p w14:paraId="7799852D" w14:textId="77777777" w:rsidR="00C24E8B" w:rsidRDefault="00C24E8B" w:rsidP="005F4945">
      <w:pPr>
        <w:pStyle w:val="R-14"/>
      </w:pPr>
      <w:r>
        <w:t xml:space="preserve">    ylab = "F(x)", xlab = "x", </w:t>
      </w:r>
      <w:r w:rsidR="00961117">
        <w:t>xlim = c(-15, 15)</w:t>
      </w:r>
      <w:r>
        <w:t xml:space="preserve">, main = </w:t>
      </w:r>
    </w:p>
    <w:p w14:paraId="59D4BF0A" w14:textId="7FA04A70" w:rsidR="00C24E8B" w:rsidRDefault="00C24E8B" w:rsidP="005F4945">
      <w:pPr>
        <w:pStyle w:val="R-14"/>
      </w:pPr>
      <w:r>
        <w:t xml:space="preserve">    "CDF", col = "</w:t>
      </w:r>
      <w:r w:rsidR="00E251AC">
        <w:t>black</w:t>
      </w:r>
      <w:r>
        <w:t>", n = 1000)</w:t>
      </w:r>
    </w:p>
    <w:p w14:paraId="2C4A4C1A" w14:textId="77777777" w:rsidR="00C24E8B" w:rsidRDefault="00C24E8B" w:rsidP="005F4945">
      <w:pPr>
        <w:pStyle w:val="R-14"/>
      </w:pPr>
    </w:p>
    <w:p w14:paraId="3956525E" w14:textId="3036A028" w:rsidR="004066B8" w:rsidRDefault="00085842" w:rsidP="002C119C">
      <w:pPr>
        <w:pStyle w:val="Header"/>
        <w:ind w:left="720"/>
      </w:pPr>
      <w:r w:rsidRPr="00085842">
        <w:t xml:space="preserve">We see that the distribution </w:t>
      </w:r>
      <w:r w:rsidR="00FC1331">
        <w:t xml:space="preserve">is symmetric and centered at </w:t>
      </w:r>
      <w:r>
        <w:sym w:font="Symbol" w:char="F06D"/>
      </w:r>
      <w:r>
        <w:t xml:space="preserve">. Larger values of </w:t>
      </w:r>
      <w:r>
        <w:sym w:font="Symbol" w:char="F073"/>
      </w:r>
      <w:r w:rsidRPr="00085842">
        <w:t xml:space="preserve"> lead to a la</w:t>
      </w:r>
      <w:r>
        <w:t xml:space="preserve">rger variance. Overall, E(X) = </w:t>
      </w:r>
      <w:r>
        <w:sym w:font="Symbol" w:char="F06D"/>
      </w:r>
      <w:r w:rsidRPr="00085842">
        <w:t xml:space="preserve"> and Var(X)</w:t>
      </w:r>
      <w:r>
        <w:t xml:space="preserve"> </w:t>
      </w:r>
      <w:r w:rsidRPr="00085842">
        <w:t>=</w:t>
      </w:r>
      <w:r>
        <w:t xml:space="preserve"> </w:t>
      </w:r>
      <w:r>
        <w:sym w:font="Symbol" w:char="F073"/>
      </w:r>
      <w:r>
        <w:rPr>
          <w:vertAlign w:val="superscript"/>
        </w:rPr>
        <w:t>2</w:t>
      </w:r>
      <w:r>
        <w:sym w:font="Symbol" w:char="F070"/>
      </w:r>
      <w:r>
        <w:rPr>
          <w:vertAlign w:val="superscript"/>
        </w:rPr>
        <w:t>2</w:t>
      </w:r>
      <w:r w:rsidRPr="00085842">
        <w:t xml:space="preserve">/3. In comparison to a normal distribution with mean </w:t>
      </w:r>
      <w:r>
        <w:sym w:font="Symbol" w:char="F06D"/>
      </w:r>
      <w:r>
        <w:t xml:space="preserve"> </w:t>
      </w:r>
      <w:r w:rsidRPr="00085842">
        <w:t xml:space="preserve">and variance </w:t>
      </w:r>
      <w:r>
        <w:sym w:font="Symbol" w:char="F073"/>
      </w:r>
      <w:r>
        <w:rPr>
          <w:vertAlign w:val="superscript"/>
        </w:rPr>
        <w:t>2</w:t>
      </w:r>
      <w:r w:rsidRPr="00085842">
        <w:t>, the distributions are centered at the same location, but the logistic distribution has a larger variance.</w:t>
      </w:r>
    </w:p>
    <w:p w14:paraId="3AAAFE84" w14:textId="1887BACD" w:rsidR="00B21168" w:rsidRDefault="00B21168" w:rsidP="002C119C">
      <w:pPr>
        <w:pStyle w:val="Header"/>
        <w:ind w:left="720"/>
      </w:pPr>
    </w:p>
    <w:p w14:paraId="6CB769AA" w14:textId="11197950" w:rsidR="00B21168" w:rsidRDefault="00B21168" w:rsidP="002C119C">
      <w:pPr>
        <w:pStyle w:val="Header"/>
        <w:ind w:left="720"/>
      </w:pPr>
      <w:r>
        <w:t xml:space="preserve">We can equivalently work with </w:t>
      </w:r>
      <w:r w:rsidRPr="00B21168">
        <w:rPr>
          <w:position w:val="-14"/>
        </w:rPr>
        <w:object w:dxaOrig="2439" w:dyaOrig="480" w14:anchorId="0365185C">
          <v:shape id="_x0000_i1033" type="#_x0000_t75" style="width:122.25pt;height:24pt" o:ole="">
            <v:imagedata r:id="rId25" o:title=""/>
          </v:shape>
          <o:OLEObject Type="Embed" ProgID="Equation.DSMT4" ShapeID="_x0000_i1033" DrawAspect="Content" ObjectID="_1735037221" r:id="rId26"/>
        </w:object>
      </w:r>
      <w:r>
        <w:t xml:space="preserve"> f</w:t>
      </w:r>
      <w:r w:rsidRPr="00B21168">
        <w:t xml:space="preserve">or a logistic distribution, similar to what is often done for a normal distribution. This leads to the CDF </w:t>
      </w:r>
    </w:p>
    <w:p w14:paraId="17B09693" w14:textId="77777777" w:rsidR="00B21168" w:rsidRDefault="00B21168" w:rsidP="002C119C">
      <w:pPr>
        <w:pStyle w:val="Header"/>
        <w:ind w:left="720"/>
      </w:pPr>
    </w:p>
    <w:p w14:paraId="23F02BC9" w14:textId="77777777" w:rsidR="00B21168" w:rsidRDefault="00B21168" w:rsidP="00B21168">
      <w:pPr>
        <w:pStyle w:val="Header"/>
        <w:ind w:left="1440"/>
      </w:pPr>
      <w:r w:rsidRPr="00B21168">
        <w:rPr>
          <w:position w:val="-14"/>
        </w:rPr>
        <w:object w:dxaOrig="4540" w:dyaOrig="480" w14:anchorId="75FA35BF">
          <v:shape id="_x0000_i1034" type="#_x0000_t75" style="width:227.25pt;height:24pt" o:ole="">
            <v:imagedata r:id="rId27" o:title=""/>
          </v:shape>
          <o:OLEObject Type="Embed" ProgID="Equation.DSMT4" ShapeID="_x0000_i1034" DrawAspect="Content" ObjectID="_1735037222" r:id="rId28"/>
        </w:object>
      </w:r>
    </w:p>
    <w:p w14:paraId="0CE15A3C" w14:textId="77777777" w:rsidR="00B21168" w:rsidRDefault="00B21168" w:rsidP="00B21168">
      <w:pPr>
        <w:pStyle w:val="Header"/>
        <w:ind w:left="1440"/>
      </w:pPr>
    </w:p>
    <w:p w14:paraId="1AAB28AC" w14:textId="77777777" w:rsidR="00B21168" w:rsidRDefault="00B21168" w:rsidP="00B21168">
      <w:pPr>
        <w:pStyle w:val="Header"/>
        <w:ind w:left="720"/>
      </w:pPr>
      <w:r w:rsidRPr="00B21168">
        <w:t>Solving for z results in the inverse of this function:</w:t>
      </w:r>
    </w:p>
    <w:p w14:paraId="5BFCF11B" w14:textId="77777777" w:rsidR="00B21168" w:rsidRDefault="00B21168" w:rsidP="00B21168">
      <w:pPr>
        <w:pStyle w:val="Header"/>
        <w:ind w:left="720"/>
      </w:pPr>
    </w:p>
    <w:p w14:paraId="2C1AF94F" w14:textId="69905B7C" w:rsidR="00B21168" w:rsidRDefault="00B21168" w:rsidP="00B21168">
      <w:pPr>
        <w:pStyle w:val="Header"/>
        <w:ind w:left="1440"/>
      </w:pPr>
      <w:r w:rsidRPr="00B21168">
        <w:rPr>
          <w:position w:val="-14"/>
        </w:rPr>
        <w:object w:dxaOrig="4660" w:dyaOrig="480" w14:anchorId="4B8BB8FE">
          <v:shape id="_x0000_i1035" type="#_x0000_t75" style="width:233.25pt;height:24pt" o:ole="">
            <v:imagedata r:id="rId29" o:title=""/>
          </v:shape>
          <o:OLEObject Type="Embed" ProgID="Equation.DSMT4" ShapeID="_x0000_i1035" DrawAspect="Content" ObjectID="_1735037223" r:id="rId30"/>
        </w:object>
      </w:r>
      <w:r w:rsidRPr="00B21168">
        <w:t xml:space="preserve"> </w:t>
      </w:r>
    </w:p>
    <w:p w14:paraId="3B3B9661" w14:textId="77777777" w:rsidR="00B21168" w:rsidRDefault="00B21168" w:rsidP="00B21168">
      <w:pPr>
        <w:pStyle w:val="Header"/>
        <w:ind w:left="720"/>
      </w:pPr>
    </w:p>
    <w:p w14:paraId="2A160B70" w14:textId="37BFD45B" w:rsidR="00B21168" w:rsidRDefault="00B21168" w:rsidP="00B21168">
      <w:pPr>
        <w:pStyle w:val="Header"/>
        <w:ind w:left="720"/>
      </w:pPr>
      <w:r w:rsidRPr="00B21168">
        <w:t>This has the same mathematical form as the link function used with logistic regression. Thus, the link function is the inverse CDF for a logistic distribution.</w:t>
      </w:r>
    </w:p>
    <w:p w14:paraId="3FA2C095" w14:textId="77777777" w:rsidR="00367552" w:rsidRDefault="00367552" w:rsidP="002C119C">
      <w:pPr>
        <w:pStyle w:val="Header"/>
        <w:ind w:left="720"/>
      </w:pPr>
    </w:p>
    <w:p w14:paraId="09CF7E6B" w14:textId="65DA4A4D" w:rsidR="000151E2" w:rsidRDefault="00B21168" w:rsidP="00B21168">
      <w:pPr>
        <w:pStyle w:val="Header"/>
        <w:ind w:left="720"/>
      </w:pPr>
      <w:r>
        <w:t xml:space="preserve">Note that the previous </w:t>
      </w:r>
      <w:r w:rsidR="009824BE">
        <w:t xml:space="preserve">CDF plot is actually the same plot as </w:t>
      </w:r>
      <w:r w:rsidR="00367552">
        <w:t>in</w:t>
      </w:r>
      <w:r w:rsidR="009824BE">
        <w:t xml:space="preserve"> our initial example of a logistic regression model! </w:t>
      </w:r>
    </w:p>
    <w:p w14:paraId="78319620" w14:textId="77777777" w:rsidR="00D66EFD" w:rsidRDefault="00D66EFD" w:rsidP="00367552"/>
    <w:p w14:paraId="03882908" w14:textId="77777777" w:rsidR="001812C4" w:rsidRDefault="001812C4">
      <w:pPr>
        <w:spacing w:after="200" w:line="276" w:lineRule="auto"/>
        <w:jc w:val="left"/>
      </w:pPr>
      <w:r>
        <w:br w:type="page"/>
      </w:r>
    </w:p>
    <w:p w14:paraId="0D90C615" w14:textId="0EA4EB2F" w:rsidR="00A53A62" w:rsidRPr="00F43B0A" w:rsidRDefault="00AF0C4E" w:rsidP="00A53A62">
      <w:pPr>
        <w:rPr>
          <w:u w:val="single"/>
        </w:rPr>
      </w:pPr>
      <w:r>
        <w:rPr>
          <w:u w:val="single"/>
        </w:rPr>
        <w:lastRenderedPageBreak/>
        <w:t>Model c</w:t>
      </w:r>
      <w:r w:rsidR="001812C4" w:rsidRPr="00F43B0A">
        <w:rPr>
          <w:u w:val="single"/>
        </w:rPr>
        <w:t>omparisons</w:t>
      </w:r>
    </w:p>
    <w:p w14:paraId="46555562" w14:textId="23740E13" w:rsidR="001812C4" w:rsidRDefault="001812C4" w:rsidP="00A53A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880"/>
        <w:gridCol w:w="2880"/>
        <w:gridCol w:w="2960"/>
      </w:tblGrid>
      <w:tr w:rsidR="001812C4" w:rsidRPr="001812C4" w14:paraId="2EBC2DBC" w14:textId="77777777" w:rsidTr="00D8379A"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C9DBB7A" w14:textId="77777777" w:rsidR="001812C4" w:rsidRPr="001812C4" w:rsidRDefault="001812C4" w:rsidP="001812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A2E2A69" w14:textId="5B878A2A" w:rsidR="001812C4" w:rsidRPr="001812C4" w:rsidRDefault="001812C4" w:rsidP="001812C4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>Logistic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81DD7FB" w14:textId="240A2A9D" w:rsidR="001812C4" w:rsidRPr="001812C4" w:rsidRDefault="001812C4" w:rsidP="001812C4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>Probit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14:paraId="5BF3B038" w14:textId="3500470B" w:rsidR="001812C4" w:rsidRPr="001812C4" w:rsidRDefault="001812C4" w:rsidP="001812C4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>Complementary log-log</w:t>
            </w:r>
          </w:p>
        </w:tc>
      </w:tr>
      <w:tr w:rsidR="001812C4" w:rsidRPr="001812C4" w14:paraId="7409A926" w14:textId="77777777" w:rsidTr="00D8379A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335387" w14:textId="34EAC0A4" w:rsidR="001812C4" w:rsidRPr="001812C4" w:rsidRDefault="001812C4" w:rsidP="00A53A62">
            <w:pPr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>Link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018076F" w14:textId="6D86A8DD" w:rsidR="001812C4" w:rsidRPr="001812C4" w:rsidRDefault="001812C4" w:rsidP="00DC2A93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 xml:space="preserve">Inverse CDF of standard logistic </w:t>
            </w:r>
            <w:r>
              <w:rPr>
                <w:sz w:val="32"/>
                <w:szCs w:val="32"/>
              </w:rPr>
              <w:t>distribution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4E1F94C" w14:textId="36124FD3" w:rsidR="001812C4" w:rsidRPr="001812C4" w:rsidRDefault="001812C4" w:rsidP="00DC2A93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 xml:space="preserve">Inverse CDF of standard normal </w:t>
            </w:r>
            <w:r>
              <w:rPr>
                <w:sz w:val="32"/>
                <w:szCs w:val="32"/>
              </w:rPr>
              <w:t>distribution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</w:tcPr>
          <w:p w14:paraId="1C25DFDC" w14:textId="440D333D" w:rsidR="001812C4" w:rsidRPr="001812C4" w:rsidRDefault="001812C4" w:rsidP="00DC2A93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>Inverse CDF of Gumbel (extreme value) distribution</w:t>
            </w:r>
          </w:p>
        </w:tc>
      </w:tr>
      <w:tr w:rsidR="001812C4" w:rsidRPr="001812C4" w14:paraId="09C305FD" w14:textId="77777777" w:rsidTr="00D8379A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AB19C8" w14:textId="6EF6641B" w:rsidR="001812C4" w:rsidRPr="001812C4" w:rsidRDefault="001812C4" w:rsidP="00A53A62">
            <w:pPr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>Inverse link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C08D49E" w14:textId="02B6E8F8" w:rsidR="001812C4" w:rsidRPr="001812C4" w:rsidRDefault="001812C4" w:rsidP="00DC2A93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 xml:space="preserve">CDF of standard logistic </w:t>
            </w:r>
            <w:r>
              <w:rPr>
                <w:sz w:val="32"/>
                <w:szCs w:val="32"/>
              </w:rPr>
              <w:t>distribution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9D16566" w14:textId="217970D0" w:rsidR="001812C4" w:rsidRPr="001812C4" w:rsidRDefault="001812C4" w:rsidP="00DC2A93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 xml:space="preserve">CDF of standard normal </w:t>
            </w:r>
            <w:r>
              <w:rPr>
                <w:sz w:val="32"/>
                <w:szCs w:val="32"/>
              </w:rPr>
              <w:t>distribution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</w:tcPr>
          <w:p w14:paraId="012BD625" w14:textId="20ED0CE2" w:rsidR="001812C4" w:rsidRPr="001812C4" w:rsidRDefault="001812C4" w:rsidP="00DC2A93">
            <w:pPr>
              <w:jc w:val="center"/>
              <w:rPr>
                <w:sz w:val="32"/>
                <w:szCs w:val="32"/>
              </w:rPr>
            </w:pPr>
            <w:r w:rsidRPr="001812C4">
              <w:rPr>
                <w:sz w:val="32"/>
                <w:szCs w:val="32"/>
              </w:rPr>
              <w:t xml:space="preserve">CDF of </w:t>
            </w:r>
            <w:r w:rsidR="00446566">
              <w:rPr>
                <w:sz w:val="32"/>
                <w:szCs w:val="32"/>
              </w:rPr>
              <w:t xml:space="preserve">standard </w:t>
            </w:r>
            <w:r w:rsidRPr="001812C4">
              <w:rPr>
                <w:sz w:val="32"/>
                <w:szCs w:val="32"/>
              </w:rPr>
              <w:t>Gumbel (extreme value) distribution</w:t>
            </w:r>
          </w:p>
        </w:tc>
      </w:tr>
      <w:tr w:rsidR="0050727B" w:rsidRPr="001812C4" w14:paraId="02CA1372" w14:textId="77777777" w:rsidTr="00D8379A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58B612" w14:textId="4DBF671D" w:rsidR="0050727B" w:rsidRDefault="0050727B" w:rsidP="00A53A62">
            <w:pPr>
              <w:rPr>
                <w:sz w:val="32"/>
                <w:szCs w:val="32"/>
              </w:rPr>
            </w:pPr>
            <w:r w:rsidRPr="0050727B">
              <w:rPr>
                <w:rFonts w:ascii="Courier New" w:hAnsi="Courier New" w:cs="Courier New"/>
                <w:sz w:val="32"/>
                <w:szCs w:val="32"/>
              </w:rPr>
              <w:t>glm()</w:t>
            </w:r>
            <w:r>
              <w:rPr>
                <w:sz w:val="32"/>
                <w:szCs w:val="32"/>
              </w:rPr>
              <w:t xml:space="preserve"> code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E4DA8E2" w14:textId="6926651F" w:rsidR="0050727B" w:rsidRPr="0050727B" w:rsidRDefault="0050727B" w:rsidP="00DC2A93">
            <w:pPr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50727B">
              <w:rPr>
                <w:rFonts w:ascii="Courier New" w:hAnsi="Courier New" w:cs="Courier New"/>
                <w:sz w:val="32"/>
                <w:szCs w:val="32"/>
              </w:rPr>
              <w:t>link = logit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4549F7F" w14:textId="32872E80" w:rsidR="0050727B" w:rsidRPr="0050727B" w:rsidRDefault="0050727B" w:rsidP="0050727B">
            <w:pPr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50727B">
              <w:rPr>
                <w:rFonts w:ascii="Courier New" w:hAnsi="Courier New" w:cs="Courier New"/>
                <w:sz w:val="32"/>
                <w:szCs w:val="32"/>
              </w:rPr>
              <w:t>link = probit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7AA38" w14:textId="1DA26D6D" w:rsidR="0050727B" w:rsidRPr="0050727B" w:rsidRDefault="0050727B" w:rsidP="0050727B">
            <w:pPr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50727B">
              <w:rPr>
                <w:rFonts w:ascii="Courier New" w:hAnsi="Courier New" w:cs="Courier New"/>
                <w:sz w:val="32"/>
                <w:szCs w:val="32"/>
              </w:rPr>
              <w:t>link = cloglog</w:t>
            </w:r>
          </w:p>
        </w:tc>
      </w:tr>
      <w:tr w:rsidR="001812C4" w:rsidRPr="001812C4" w14:paraId="1DEFD54E" w14:textId="77777777" w:rsidTr="00D8379A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C96566" w14:textId="119592E3" w:rsidR="001812C4" w:rsidRPr="001812C4" w:rsidRDefault="001812C4" w:rsidP="00A53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Symmetry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E43B8A8" w14:textId="226687FD" w:rsidR="001812C4" w:rsidRPr="001812C4" w:rsidRDefault="001812C4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Rotational</w:t>
            </w:r>
            <w:r w:rsidR="00D8379A">
              <w:rPr>
                <w:sz w:val="32"/>
                <w:szCs w:val="32"/>
              </w:rPr>
              <w:t>ly</w:t>
            </w:r>
            <w:r>
              <w:rPr>
                <w:sz w:val="32"/>
                <w:szCs w:val="32"/>
              </w:rPr>
              <w:t xml:space="preserve"> </w:t>
            </w:r>
            <w:r w:rsidRPr="00DC2A93">
              <w:rPr>
                <w:sz w:val="32"/>
                <w:szCs w:val="32"/>
              </w:rPr>
              <w:t>symmetric about</w:t>
            </w:r>
            <w:r w:rsidR="00DC2A93" w:rsidRPr="00DC2A93">
              <w:rPr>
                <w:sz w:val="32"/>
                <w:szCs w:val="32"/>
              </w:rPr>
              <w:t xml:space="preserve"> </w:t>
            </w:r>
            <w:r w:rsidR="00DC2A93" w:rsidRPr="00DC2A93">
              <w:rPr>
                <w:sz w:val="32"/>
                <w:szCs w:val="32"/>
              </w:rPr>
              <w:sym w:font="Symbol" w:char="F070"/>
            </w:r>
            <w:r w:rsidR="00DC2A93" w:rsidRPr="00DC2A93">
              <w:rPr>
                <w:sz w:val="32"/>
                <w:szCs w:val="32"/>
              </w:rPr>
              <w:t xml:space="preserve"> = 0.5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70FE8DF" w14:textId="72D6C505" w:rsidR="001812C4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Rotational</w:t>
            </w:r>
            <w:r w:rsidR="00D8379A">
              <w:rPr>
                <w:sz w:val="32"/>
                <w:szCs w:val="32"/>
              </w:rPr>
              <w:t>ly</w:t>
            </w:r>
            <w:r>
              <w:rPr>
                <w:sz w:val="32"/>
                <w:szCs w:val="32"/>
              </w:rPr>
              <w:t xml:space="preserve"> </w:t>
            </w:r>
            <w:r w:rsidRPr="00DC2A93">
              <w:rPr>
                <w:sz w:val="32"/>
                <w:szCs w:val="32"/>
              </w:rPr>
              <w:t xml:space="preserve">symmetric about </w:t>
            </w:r>
            <w:r w:rsidRPr="00DC2A93">
              <w:rPr>
                <w:sz w:val="32"/>
                <w:szCs w:val="32"/>
              </w:rPr>
              <w:sym w:font="Symbol" w:char="F070"/>
            </w:r>
            <w:r w:rsidRPr="00DC2A93">
              <w:rPr>
                <w:sz w:val="32"/>
                <w:szCs w:val="32"/>
              </w:rPr>
              <w:t xml:space="preserve"> = 0.5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65A174" w14:textId="67EEEADE" w:rsidR="001812C4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rotational</w:t>
            </w:r>
            <w:r w:rsidR="00D8379A">
              <w:rPr>
                <w:sz w:val="32"/>
                <w:szCs w:val="32"/>
              </w:rPr>
              <w:t>ly</w:t>
            </w:r>
            <w:r>
              <w:rPr>
                <w:sz w:val="32"/>
                <w:szCs w:val="32"/>
              </w:rPr>
              <w:t xml:space="preserve"> </w:t>
            </w:r>
            <w:r w:rsidRPr="00DC2A93">
              <w:rPr>
                <w:sz w:val="32"/>
                <w:szCs w:val="32"/>
              </w:rPr>
              <w:t>symmetric</w:t>
            </w:r>
          </w:p>
        </w:tc>
      </w:tr>
      <w:tr w:rsidR="001812C4" w:rsidRPr="001812C4" w14:paraId="7CBB5402" w14:textId="77777777" w:rsidTr="00D8379A">
        <w:tc>
          <w:tcPr>
            <w:tcW w:w="2070" w:type="dxa"/>
            <w:tcBorders>
              <w:top w:val="single" w:sz="4" w:space="0" w:color="auto"/>
            </w:tcBorders>
          </w:tcPr>
          <w:p w14:paraId="14D6D5F9" w14:textId="681A165E" w:rsidR="001812C4" w:rsidRPr="001812C4" w:rsidRDefault="00DC2A93" w:rsidP="00DC2A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 for </w:t>
            </w:r>
            <w:r w:rsidRPr="00DC2A93">
              <w:rPr>
                <w:sz w:val="32"/>
                <w:szCs w:val="32"/>
              </w:rPr>
              <w:t>g(</w:t>
            </w:r>
            <w:r w:rsidRPr="00DC2A93">
              <w:rPr>
                <w:sz w:val="32"/>
                <w:szCs w:val="32"/>
              </w:rPr>
              <w:sym w:font="Symbol" w:char="F070"/>
            </w:r>
            <w:r w:rsidRPr="00DC2A93">
              <w:rPr>
                <w:sz w:val="32"/>
                <w:szCs w:val="32"/>
              </w:rPr>
              <w:t xml:space="preserve">) = </w:t>
            </w:r>
            <w:r w:rsidRPr="00DC2A93">
              <w:rPr>
                <w:sz w:val="32"/>
                <w:szCs w:val="32"/>
              </w:rPr>
              <w:sym w:font="Symbol" w:char="F062"/>
            </w:r>
            <w:r w:rsidRPr="00DC2A93">
              <w:rPr>
                <w:sz w:val="32"/>
                <w:szCs w:val="32"/>
                <w:vertAlign w:val="subscript"/>
              </w:rPr>
              <w:t>0</w:t>
            </w:r>
            <w:r w:rsidRPr="00DC2A93">
              <w:rPr>
                <w:sz w:val="32"/>
                <w:szCs w:val="32"/>
              </w:rPr>
              <w:t xml:space="preserve"> + </w:t>
            </w:r>
            <w:r w:rsidRPr="00DC2A93">
              <w:rPr>
                <w:sz w:val="32"/>
                <w:szCs w:val="32"/>
              </w:rPr>
              <w:sym w:font="Symbol" w:char="F062"/>
            </w:r>
            <w:r w:rsidRPr="00DC2A93">
              <w:rPr>
                <w:sz w:val="32"/>
                <w:szCs w:val="32"/>
                <w:vertAlign w:val="subscript"/>
              </w:rPr>
              <w:t>1</w:t>
            </w:r>
            <w:r w:rsidRPr="00DC2A93">
              <w:rPr>
                <w:sz w:val="32"/>
                <w:szCs w:val="32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0DB739F" w14:textId="421C5D8D" w:rsidR="001812C4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dependent on x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00"/>
          </w:tcPr>
          <w:p w14:paraId="4DEF5D26" w14:textId="37037BB0" w:rsidR="001812C4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Dependent on x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FFFF00"/>
          </w:tcPr>
          <w:p w14:paraId="72D55218" w14:textId="1C5A8E79" w:rsidR="001812C4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Dependent on x</w:t>
            </w:r>
          </w:p>
        </w:tc>
      </w:tr>
      <w:tr w:rsidR="00DC2A93" w:rsidRPr="001812C4" w14:paraId="34A7BA22" w14:textId="77777777" w:rsidTr="00D8379A">
        <w:trPr>
          <w:trHeight w:val="98"/>
        </w:trPr>
        <w:tc>
          <w:tcPr>
            <w:tcW w:w="2070" w:type="dxa"/>
            <w:tcBorders>
              <w:top w:val="single" w:sz="4" w:space="0" w:color="auto"/>
            </w:tcBorders>
          </w:tcPr>
          <w:p w14:paraId="0DCF1FBD" w14:textId="04B7849C" w:rsidR="00DC2A93" w:rsidRPr="001812C4" w:rsidRDefault="00DC2A93" w:rsidP="00A53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Use?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E015E1D" w14:textId="5126A774" w:rsidR="00DC2A93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Everywhere!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00"/>
          </w:tcPr>
          <w:p w14:paraId="7584712C" w14:textId="70455245" w:rsidR="00DC2A93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few places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FFFF00"/>
          </w:tcPr>
          <w:p w14:paraId="74F6A1BD" w14:textId="52F2E70E" w:rsidR="00DC2A93" w:rsidRPr="001812C4" w:rsidRDefault="00DC2A93" w:rsidP="00DC2A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little</w:t>
            </w:r>
          </w:p>
        </w:tc>
      </w:tr>
    </w:tbl>
    <w:p w14:paraId="364CB0B1" w14:textId="77777777" w:rsidR="001812C4" w:rsidRPr="00F43B0A" w:rsidRDefault="001812C4" w:rsidP="00F43B0A">
      <w:pPr>
        <w:ind w:left="720"/>
      </w:pPr>
    </w:p>
    <w:p w14:paraId="53483EC5" w14:textId="0F7789B6" w:rsidR="00F43B0A" w:rsidRPr="00F43B0A" w:rsidRDefault="00F43B0A" w:rsidP="00F43B0A">
      <w:pPr>
        <w:ind w:left="720"/>
        <w:rPr>
          <w:szCs w:val="40"/>
        </w:rPr>
      </w:pPr>
      <w:r w:rsidRPr="00F43B0A">
        <w:rPr>
          <w:szCs w:val="40"/>
        </w:rPr>
        <w:t xml:space="preserve">where g() represents the appropriate transformation for the corresponding model. </w:t>
      </w:r>
    </w:p>
    <w:p w14:paraId="66829947" w14:textId="77777777" w:rsidR="00F43B0A" w:rsidRDefault="00F43B0A" w:rsidP="00F43B0A">
      <w:pPr>
        <w:ind w:left="720"/>
      </w:pPr>
    </w:p>
    <w:p w14:paraId="2070B34E" w14:textId="3B38E00E" w:rsidR="00F43B0A" w:rsidRDefault="00F43B0A" w:rsidP="00F43B0A">
      <w:pPr>
        <w:ind w:left="720"/>
      </w:pPr>
      <w:r w:rsidRPr="00F43B0A">
        <w:t xml:space="preserve">The </w:t>
      </w:r>
      <w:r>
        <w:t xml:space="preserve">yellow highlighted cells of the table are why we will not discuss the probit and complementary log-log models much further. </w:t>
      </w:r>
    </w:p>
    <w:p w14:paraId="2D71197F" w14:textId="77777777" w:rsidR="00F43B0A" w:rsidRDefault="00F43B0A" w:rsidP="00F43B0A">
      <w:pPr>
        <w:ind w:left="720"/>
      </w:pPr>
    </w:p>
    <w:p w14:paraId="6478D55C" w14:textId="3512A083" w:rsidR="00F43B0A" w:rsidRDefault="00D8379A" w:rsidP="00F43B0A">
      <w:pPr>
        <w:ind w:left="720"/>
      </w:pPr>
      <w:r w:rsidRPr="00D8379A">
        <w:rPr>
          <w:u w:val="single"/>
        </w:rPr>
        <w:t>C</w:t>
      </w:r>
      <w:r w:rsidR="00F43B0A" w:rsidRPr="00D8379A">
        <w:rPr>
          <w:u w:val="single"/>
        </w:rPr>
        <w:t>omments</w:t>
      </w:r>
      <w:r w:rsidR="00F43B0A">
        <w:t xml:space="preserve">: </w:t>
      </w:r>
    </w:p>
    <w:p w14:paraId="787B3DAB" w14:textId="67985E36" w:rsidR="00F43B0A" w:rsidRDefault="00F43B0A" w:rsidP="00F43B0A">
      <w:pPr>
        <w:pStyle w:val="ListParagraph"/>
        <w:numPr>
          <w:ilvl w:val="0"/>
          <w:numId w:val="8"/>
        </w:numPr>
        <w:rPr>
          <w:szCs w:val="40"/>
        </w:rPr>
      </w:pPr>
      <w:r>
        <w:t xml:space="preserve">Probit regression models generally provide a very similar fit as the logistic regression model. The </w:t>
      </w:r>
      <w:r w:rsidRPr="00F43B0A">
        <w:rPr>
          <w:szCs w:val="40"/>
        </w:rPr>
        <w:t xml:space="preserve">one place where the fit can be a little different is close to </w:t>
      </w:r>
      <w:r w:rsidRPr="00F43B0A">
        <w:sym w:font="Symbol" w:char="F070"/>
      </w:r>
      <w:r w:rsidRPr="00F43B0A">
        <w:rPr>
          <w:szCs w:val="40"/>
        </w:rPr>
        <w:t xml:space="preserve"> = 0 or 1, because the logistic distribution has fatter tails (more probability in the outer portions of the distribution) than the normal distribution. </w:t>
      </w:r>
    </w:p>
    <w:p w14:paraId="5B633520" w14:textId="4DDCA748" w:rsidR="00F43B0A" w:rsidRDefault="0050727B" w:rsidP="00F43B0A">
      <w:pPr>
        <w:pStyle w:val="ListParagraph"/>
        <w:numPr>
          <w:ilvl w:val="0"/>
          <w:numId w:val="8"/>
        </w:numPr>
        <w:rPr>
          <w:szCs w:val="40"/>
        </w:rPr>
      </w:pPr>
      <w:r>
        <w:rPr>
          <w:szCs w:val="40"/>
        </w:rPr>
        <w:lastRenderedPageBreak/>
        <w:t xml:space="preserve">Below is the fit of the three binary regression models for the placekicking example when distance is the only explanatory variable. The code is in Placekick.R. </w:t>
      </w:r>
    </w:p>
    <w:p w14:paraId="74CE5DC4" w14:textId="6FEB239D" w:rsidR="0050727B" w:rsidRDefault="0050727B" w:rsidP="0050727B">
      <w:pPr>
        <w:pStyle w:val="ListParagraph"/>
        <w:ind w:left="1080"/>
        <w:rPr>
          <w:szCs w:val="40"/>
        </w:rPr>
      </w:pPr>
    </w:p>
    <w:p w14:paraId="48F6E2D8" w14:textId="7ECF24E7" w:rsidR="0050727B" w:rsidRDefault="0050727B" w:rsidP="0050727B">
      <w:pPr>
        <w:pStyle w:val="ListParagraph"/>
        <w:ind w:left="1080"/>
        <w:rPr>
          <w:szCs w:val="40"/>
        </w:rPr>
      </w:pPr>
      <w:r>
        <w:rPr>
          <w:noProof/>
        </w:rPr>
        <w:drawing>
          <wp:inline distT="0" distB="0" distL="0" distR="0" wp14:anchorId="6BC7AC33" wp14:editId="0E88A75E">
            <wp:extent cx="6400800" cy="4865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5"/>
                    <a:stretch/>
                  </pic:blipFill>
                  <pic:spPr bwMode="auto">
                    <a:xfrm>
                      <a:off x="0" y="0"/>
                      <a:ext cx="6400800" cy="48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9EC3B" w14:textId="77777777" w:rsidR="0050727B" w:rsidRDefault="0050727B" w:rsidP="0050727B">
      <w:pPr>
        <w:ind w:left="1080"/>
      </w:pPr>
      <w:r>
        <w:t>The estimated models are</w:t>
      </w:r>
    </w:p>
    <w:p w14:paraId="205887E0" w14:textId="77777777" w:rsidR="0050727B" w:rsidRDefault="0050727B" w:rsidP="0050727B">
      <w:pPr>
        <w:pStyle w:val="ListParagraph"/>
        <w:numPr>
          <w:ilvl w:val="0"/>
          <w:numId w:val="9"/>
        </w:numPr>
        <w:ind w:left="1440"/>
      </w:pPr>
      <w:r w:rsidRPr="002A4053">
        <w:rPr>
          <w:position w:val="-14"/>
        </w:rPr>
        <w:object w:dxaOrig="6000" w:dyaOrig="480" w14:anchorId="7C29E7AD">
          <v:shape id="_x0000_i1036" type="#_x0000_t75" style="width:268.5pt;height:24pt" o:ole="">
            <v:imagedata r:id="rId32" o:title=""/>
          </v:shape>
          <o:OLEObject Type="Embed" ProgID="Equation.DSMT4" ShapeID="_x0000_i1036" DrawAspect="Content" ObjectID="_1735037224" r:id="rId33"/>
        </w:object>
      </w:r>
    </w:p>
    <w:p w14:paraId="7F615A30" w14:textId="77777777" w:rsidR="0050727B" w:rsidRDefault="0050727B" w:rsidP="0050727B">
      <w:pPr>
        <w:pStyle w:val="ListParagraph"/>
        <w:numPr>
          <w:ilvl w:val="0"/>
          <w:numId w:val="9"/>
        </w:numPr>
        <w:ind w:left="1440"/>
      </w:pPr>
      <w:r w:rsidRPr="002A4053">
        <w:rPr>
          <w:position w:val="-14"/>
        </w:rPr>
        <w:object w:dxaOrig="6259" w:dyaOrig="480" w14:anchorId="6EA9D6A0">
          <v:shape id="_x0000_i1037" type="#_x0000_t75" style="width:283.5pt;height:24pt" o:ole="">
            <v:imagedata r:id="rId34" o:title=""/>
          </v:shape>
          <o:OLEObject Type="Embed" ProgID="Equation.DSMT4" ShapeID="_x0000_i1037" DrawAspect="Content" ObjectID="_1735037225" r:id="rId35"/>
        </w:object>
      </w:r>
    </w:p>
    <w:p w14:paraId="54CDDE05" w14:textId="77777777" w:rsidR="0050727B" w:rsidRDefault="0050727B" w:rsidP="0050727B">
      <w:pPr>
        <w:pStyle w:val="ListParagraph"/>
        <w:numPr>
          <w:ilvl w:val="0"/>
          <w:numId w:val="9"/>
        </w:numPr>
        <w:ind w:left="1440"/>
      </w:pPr>
      <w:r w:rsidRPr="002A4053">
        <w:rPr>
          <w:position w:val="-14"/>
        </w:rPr>
        <w:object w:dxaOrig="7300" w:dyaOrig="480" w14:anchorId="049B9EDB">
          <v:shape id="_x0000_i1038" type="#_x0000_t75" style="width:330pt;height:24pt" o:ole="">
            <v:imagedata r:id="rId36" o:title=""/>
          </v:shape>
          <o:OLEObject Type="Embed" ProgID="Equation.DSMT4" ShapeID="_x0000_i1038" DrawAspect="Content" ObjectID="_1735037226" r:id="rId37"/>
        </w:object>
      </w:r>
    </w:p>
    <w:p w14:paraId="706765BF" w14:textId="77777777" w:rsidR="0050727B" w:rsidRDefault="0050727B" w:rsidP="0050727B">
      <w:pPr>
        <w:ind w:left="360"/>
      </w:pPr>
    </w:p>
    <w:p w14:paraId="707A06E1" w14:textId="5346485B" w:rsidR="0050727B" w:rsidRDefault="0050727B" w:rsidP="0050727B">
      <w:pPr>
        <w:ind w:left="1080"/>
        <w:rPr>
          <w:szCs w:val="40"/>
        </w:rPr>
      </w:pPr>
      <w:r>
        <w:t xml:space="preserve">You may think there are large differences among these models due to their </w:t>
      </w:r>
      <w:r w:rsidR="00A90C5A">
        <w:t xml:space="preserve">regression </w:t>
      </w:r>
      <w:r>
        <w:t xml:space="preserve">parameter estimates. However, examining the estimates alone does not take </w:t>
      </w:r>
      <w:r>
        <w:lastRenderedPageBreak/>
        <w:t xml:space="preserve">into account the functional form of the models. We can see from the plots that the models are VERY similar except at larger distances </w:t>
      </w:r>
      <w:r w:rsidR="00A90C5A">
        <w:t>for</w:t>
      </w:r>
      <w:r>
        <w:t xml:space="preserve"> the complementary log-log model </w:t>
      </w:r>
      <w:r w:rsidR="00A90C5A">
        <w:t xml:space="preserve">when compared </w:t>
      </w:r>
      <w:r>
        <w:t>to the logistic and probit models.</w:t>
      </w:r>
    </w:p>
    <w:p w14:paraId="3439B796" w14:textId="2E016353" w:rsidR="00F43B0A" w:rsidRPr="0050727B" w:rsidRDefault="0050727B" w:rsidP="0050727B">
      <w:pPr>
        <w:pStyle w:val="ListParagraph"/>
        <w:numPr>
          <w:ilvl w:val="0"/>
          <w:numId w:val="8"/>
        </w:numPr>
        <w:rPr>
          <w:szCs w:val="40"/>
        </w:rPr>
      </w:pPr>
      <w:r>
        <w:rPr>
          <w:szCs w:val="40"/>
        </w:rPr>
        <w:t xml:space="preserve">A logistic regression model does NOT assume Y has a logistic distribution! Simply, the model uses the CDF’s mathematical function form for its inverse link function. </w:t>
      </w:r>
    </w:p>
    <w:sectPr w:rsidR="00F43B0A" w:rsidRPr="0050727B" w:rsidSect="002B6218">
      <w:headerReference w:type="defaul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CC7E" w14:textId="77777777" w:rsidR="00063DE4" w:rsidRDefault="00063DE4" w:rsidP="005942B8">
      <w:r>
        <w:separator/>
      </w:r>
    </w:p>
  </w:endnote>
  <w:endnote w:type="continuationSeparator" w:id="0">
    <w:p w14:paraId="3A0D106F" w14:textId="77777777" w:rsidR="00063DE4" w:rsidRDefault="00063DE4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58A630A4-3EA7-4572-9E58-D3A184A76B8F}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2" w:fontKey="{95136AB7-EADB-4A60-A77C-DAC52649FCE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0197" w14:textId="77777777" w:rsidR="00063DE4" w:rsidRDefault="00063DE4" w:rsidP="005942B8">
      <w:r>
        <w:separator/>
      </w:r>
    </w:p>
  </w:footnote>
  <w:footnote w:type="continuationSeparator" w:id="0">
    <w:p w14:paraId="08C8635F" w14:textId="77777777" w:rsidR="00063DE4" w:rsidRDefault="00063DE4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37829CD6" w:rsidR="005F4945" w:rsidRPr="005942B8" w:rsidRDefault="005F4945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AF0C4E">
          <w:rPr>
            <w:noProof/>
            <w:sz w:val="32"/>
            <w:szCs w:val="32"/>
          </w:rPr>
          <w:t>10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5F4945" w:rsidRDefault="005F4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252C9"/>
    <w:multiLevelType w:val="hybridMultilevel"/>
    <w:tmpl w:val="6262E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B318C"/>
    <w:multiLevelType w:val="hybridMultilevel"/>
    <w:tmpl w:val="0204A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A767D"/>
    <w:multiLevelType w:val="hybridMultilevel"/>
    <w:tmpl w:val="B5A86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183D08"/>
    <w:multiLevelType w:val="hybridMultilevel"/>
    <w:tmpl w:val="4FD29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F1567"/>
    <w:multiLevelType w:val="hybridMultilevel"/>
    <w:tmpl w:val="B178D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03040"/>
    <w:multiLevelType w:val="hybridMultilevel"/>
    <w:tmpl w:val="93524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C90175"/>
    <w:multiLevelType w:val="hybridMultilevel"/>
    <w:tmpl w:val="3B5CA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792B32"/>
    <w:multiLevelType w:val="hybridMultilevel"/>
    <w:tmpl w:val="CFF47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577468">
    <w:abstractNumId w:val="10"/>
  </w:num>
  <w:num w:numId="2" w16cid:durableId="1314986367">
    <w:abstractNumId w:val="0"/>
  </w:num>
  <w:num w:numId="3" w16cid:durableId="1360470238">
    <w:abstractNumId w:val="9"/>
  </w:num>
  <w:num w:numId="4" w16cid:durableId="1661999147">
    <w:abstractNumId w:val="3"/>
  </w:num>
  <w:num w:numId="5" w16cid:durableId="333185748">
    <w:abstractNumId w:val="14"/>
  </w:num>
  <w:num w:numId="6" w16cid:durableId="1587761633">
    <w:abstractNumId w:val="11"/>
  </w:num>
  <w:num w:numId="7" w16cid:durableId="1641377079">
    <w:abstractNumId w:val="8"/>
  </w:num>
  <w:num w:numId="8" w16cid:durableId="1138917230">
    <w:abstractNumId w:val="1"/>
  </w:num>
  <w:num w:numId="9" w16cid:durableId="126945383">
    <w:abstractNumId w:val="16"/>
  </w:num>
  <w:num w:numId="10" w16cid:durableId="1169249297">
    <w:abstractNumId w:val="5"/>
  </w:num>
  <w:num w:numId="11" w16cid:durableId="170992576">
    <w:abstractNumId w:val="12"/>
  </w:num>
  <w:num w:numId="12" w16cid:durableId="705301615">
    <w:abstractNumId w:val="7"/>
  </w:num>
  <w:num w:numId="13" w16cid:durableId="761531298">
    <w:abstractNumId w:val="4"/>
  </w:num>
  <w:num w:numId="14" w16cid:durableId="1743873834">
    <w:abstractNumId w:val="17"/>
  </w:num>
  <w:num w:numId="15" w16cid:durableId="1412965320">
    <w:abstractNumId w:val="2"/>
  </w:num>
  <w:num w:numId="16" w16cid:durableId="299069621">
    <w:abstractNumId w:val="6"/>
  </w:num>
  <w:num w:numId="17" w16cid:durableId="876741920">
    <w:abstractNumId w:val="13"/>
  </w:num>
  <w:num w:numId="18" w16cid:durableId="114007867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B8"/>
    <w:rsid w:val="00000607"/>
    <w:rsid w:val="00001349"/>
    <w:rsid w:val="00013C6D"/>
    <w:rsid w:val="000151E2"/>
    <w:rsid w:val="0002264C"/>
    <w:rsid w:val="0002699D"/>
    <w:rsid w:val="00030E4D"/>
    <w:rsid w:val="000338E2"/>
    <w:rsid w:val="0003480A"/>
    <w:rsid w:val="00040E05"/>
    <w:rsid w:val="00040FA5"/>
    <w:rsid w:val="00040FC8"/>
    <w:rsid w:val="00042352"/>
    <w:rsid w:val="000435F9"/>
    <w:rsid w:val="00044518"/>
    <w:rsid w:val="00045FDF"/>
    <w:rsid w:val="00047DCC"/>
    <w:rsid w:val="00050131"/>
    <w:rsid w:val="00051246"/>
    <w:rsid w:val="00052F45"/>
    <w:rsid w:val="000538A6"/>
    <w:rsid w:val="00053E13"/>
    <w:rsid w:val="00054882"/>
    <w:rsid w:val="00054E51"/>
    <w:rsid w:val="00055738"/>
    <w:rsid w:val="000601E6"/>
    <w:rsid w:val="00063DE4"/>
    <w:rsid w:val="00066620"/>
    <w:rsid w:val="000667B1"/>
    <w:rsid w:val="000670F2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3840"/>
    <w:rsid w:val="00094150"/>
    <w:rsid w:val="00095DEA"/>
    <w:rsid w:val="00097904"/>
    <w:rsid w:val="00097A10"/>
    <w:rsid w:val="000A04B9"/>
    <w:rsid w:val="000A0927"/>
    <w:rsid w:val="000A4B88"/>
    <w:rsid w:val="000A650B"/>
    <w:rsid w:val="000A76AD"/>
    <w:rsid w:val="000A7CA7"/>
    <w:rsid w:val="000B1F79"/>
    <w:rsid w:val="000B3CBD"/>
    <w:rsid w:val="000B432A"/>
    <w:rsid w:val="000B748D"/>
    <w:rsid w:val="000B7D47"/>
    <w:rsid w:val="000C0F5B"/>
    <w:rsid w:val="000C2B5E"/>
    <w:rsid w:val="000C3C6D"/>
    <w:rsid w:val="000C4915"/>
    <w:rsid w:val="000C625F"/>
    <w:rsid w:val="000D120F"/>
    <w:rsid w:val="000D273C"/>
    <w:rsid w:val="000D33AE"/>
    <w:rsid w:val="000D54C6"/>
    <w:rsid w:val="000D5605"/>
    <w:rsid w:val="000D73B8"/>
    <w:rsid w:val="000E1A4D"/>
    <w:rsid w:val="000E588B"/>
    <w:rsid w:val="000F01D4"/>
    <w:rsid w:val="000F36A7"/>
    <w:rsid w:val="0010123F"/>
    <w:rsid w:val="001052BA"/>
    <w:rsid w:val="00105906"/>
    <w:rsid w:val="0010737C"/>
    <w:rsid w:val="0011128A"/>
    <w:rsid w:val="001117C9"/>
    <w:rsid w:val="00115E0B"/>
    <w:rsid w:val="0013121D"/>
    <w:rsid w:val="001313ED"/>
    <w:rsid w:val="00131AA5"/>
    <w:rsid w:val="001345CB"/>
    <w:rsid w:val="0013640F"/>
    <w:rsid w:val="00136EFA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04A4"/>
    <w:rsid w:val="001531FA"/>
    <w:rsid w:val="0016435B"/>
    <w:rsid w:val="00167B18"/>
    <w:rsid w:val="00176159"/>
    <w:rsid w:val="001812C4"/>
    <w:rsid w:val="00181E0D"/>
    <w:rsid w:val="00183378"/>
    <w:rsid w:val="0018491E"/>
    <w:rsid w:val="001851F8"/>
    <w:rsid w:val="00185DFA"/>
    <w:rsid w:val="00192B18"/>
    <w:rsid w:val="00192FA8"/>
    <w:rsid w:val="0019300E"/>
    <w:rsid w:val="00194FB7"/>
    <w:rsid w:val="001A1A75"/>
    <w:rsid w:val="001A1BA8"/>
    <w:rsid w:val="001A48AA"/>
    <w:rsid w:val="001A5D92"/>
    <w:rsid w:val="001A7E66"/>
    <w:rsid w:val="001B1896"/>
    <w:rsid w:val="001B3495"/>
    <w:rsid w:val="001B3D1E"/>
    <w:rsid w:val="001B3F01"/>
    <w:rsid w:val="001B6C43"/>
    <w:rsid w:val="001C1EB0"/>
    <w:rsid w:val="001C6D2B"/>
    <w:rsid w:val="001D0681"/>
    <w:rsid w:val="001D1C6C"/>
    <w:rsid w:val="001D54B8"/>
    <w:rsid w:val="001D7CCC"/>
    <w:rsid w:val="001E0841"/>
    <w:rsid w:val="001E2A67"/>
    <w:rsid w:val="001E61FB"/>
    <w:rsid w:val="001E6DF7"/>
    <w:rsid w:val="001E7432"/>
    <w:rsid w:val="002020BF"/>
    <w:rsid w:val="002027E1"/>
    <w:rsid w:val="00203CD4"/>
    <w:rsid w:val="00204F72"/>
    <w:rsid w:val="00210423"/>
    <w:rsid w:val="00216F75"/>
    <w:rsid w:val="00222C47"/>
    <w:rsid w:val="0022355E"/>
    <w:rsid w:val="00224607"/>
    <w:rsid w:val="00226126"/>
    <w:rsid w:val="00233973"/>
    <w:rsid w:val="002368A7"/>
    <w:rsid w:val="00242D29"/>
    <w:rsid w:val="00243156"/>
    <w:rsid w:val="00246F12"/>
    <w:rsid w:val="00247839"/>
    <w:rsid w:val="00247A9E"/>
    <w:rsid w:val="002500B6"/>
    <w:rsid w:val="0025468A"/>
    <w:rsid w:val="00257561"/>
    <w:rsid w:val="00264642"/>
    <w:rsid w:val="00264E4C"/>
    <w:rsid w:val="0026604D"/>
    <w:rsid w:val="00274164"/>
    <w:rsid w:val="00275EAE"/>
    <w:rsid w:val="00276605"/>
    <w:rsid w:val="00277528"/>
    <w:rsid w:val="002851BE"/>
    <w:rsid w:val="00287382"/>
    <w:rsid w:val="00287B77"/>
    <w:rsid w:val="00291B26"/>
    <w:rsid w:val="00292283"/>
    <w:rsid w:val="002928DD"/>
    <w:rsid w:val="002A15D7"/>
    <w:rsid w:val="002A2F06"/>
    <w:rsid w:val="002A4053"/>
    <w:rsid w:val="002A69E3"/>
    <w:rsid w:val="002B05E5"/>
    <w:rsid w:val="002B6218"/>
    <w:rsid w:val="002C119C"/>
    <w:rsid w:val="002C22CC"/>
    <w:rsid w:val="002C322C"/>
    <w:rsid w:val="002C357E"/>
    <w:rsid w:val="002C6D05"/>
    <w:rsid w:val="002D10A2"/>
    <w:rsid w:val="002D21B2"/>
    <w:rsid w:val="002D6FC4"/>
    <w:rsid w:val="002D7939"/>
    <w:rsid w:val="002E0E55"/>
    <w:rsid w:val="002F07C8"/>
    <w:rsid w:val="002F07D0"/>
    <w:rsid w:val="002F19A2"/>
    <w:rsid w:val="002F3E27"/>
    <w:rsid w:val="00302215"/>
    <w:rsid w:val="00306657"/>
    <w:rsid w:val="00310442"/>
    <w:rsid w:val="00313DEF"/>
    <w:rsid w:val="003225D5"/>
    <w:rsid w:val="003238A1"/>
    <w:rsid w:val="00325458"/>
    <w:rsid w:val="00326312"/>
    <w:rsid w:val="00333F1F"/>
    <w:rsid w:val="0033480D"/>
    <w:rsid w:val="003351BB"/>
    <w:rsid w:val="003354EA"/>
    <w:rsid w:val="00335CDA"/>
    <w:rsid w:val="00336A66"/>
    <w:rsid w:val="00337E84"/>
    <w:rsid w:val="003425B7"/>
    <w:rsid w:val="00351885"/>
    <w:rsid w:val="00352E96"/>
    <w:rsid w:val="00355C37"/>
    <w:rsid w:val="00363BAB"/>
    <w:rsid w:val="00363E74"/>
    <w:rsid w:val="0036714B"/>
    <w:rsid w:val="00367552"/>
    <w:rsid w:val="00367B0C"/>
    <w:rsid w:val="00375D16"/>
    <w:rsid w:val="00375ED2"/>
    <w:rsid w:val="003760C4"/>
    <w:rsid w:val="003767B1"/>
    <w:rsid w:val="00376D1F"/>
    <w:rsid w:val="00382F9D"/>
    <w:rsid w:val="00383653"/>
    <w:rsid w:val="003839B2"/>
    <w:rsid w:val="00390398"/>
    <w:rsid w:val="0039531E"/>
    <w:rsid w:val="0039560D"/>
    <w:rsid w:val="00395B0C"/>
    <w:rsid w:val="00397C3F"/>
    <w:rsid w:val="003A02C2"/>
    <w:rsid w:val="003A374C"/>
    <w:rsid w:val="003A393D"/>
    <w:rsid w:val="003A6F4F"/>
    <w:rsid w:val="003B1AB8"/>
    <w:rsid w:val="003B2979"/>
    <w:rsid w:val="003B33EA"/>
    <w:rsid w:val="003B3894"/>
    <w:rsid w:val="003B5683"/>
    <w:rsid w:val="003B628A"/>
    <w:rsid w:val="003C3A1A"/>
    <w:rsid w:val="003C47CF"/>
    <w:rsid w:val="003C55BD"/>
    <w:rsid w:val="003C6EF6"/>
    <w:rsid w:val="003D2150"/>
    <w:rsid w:val="003D2903"/>
    <w:rsid w:val="003D7963"/>
    <w:rsid w:val="003E5957"/>
    <w:rsid w:val="003E5CBF"/>
    <w:rsid w:val="003E6BDA"/>
    <w:rsid w:val="003E7AC2"/>
    <w:rsid w:val="003F30C3"/>
    <w:rsid w:val="003F429C"/>
    <w:rsid w:val="003F5954"/>
    <w:rsid w:val="003F679F"/>
    <w:rsid w:val="003F707E"/>
    <w:rsid w:val="004066B8"/>
    <w:rsid w:val="0040731A"/>
    <w:rsid w:val="00410C72"/>
    <w:rsid w:val="004133E6"/>
    <w:rsid w:val="00415127"/>
    <w:rsid w:val="0041768A"/>
    <w:rsid w:val="00425038"/>
    <w:rsid w:val="004345B7"/>
    <w:rsid w:val="00437DD4"/>
    <w:rsid w:val="00446566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0E92"/>
    <w:rsid w:val="00471DBD"/>
    <w:rsid w:val="00477742"/>
    <w:rsid w:val="004831B7"/>
    <w:rsid w:val="004865CF"/>
    <w:rsid w:val="0049057D"/>
    <w:rsid w:val="0049211F"/>
    <w:rsid w:val="00493A13"/>
    <w:rsid w:val="004D3EF4"/>
    <w:rsid w:val="004D406A"/>
    <w:rsid w:val="004E5DF3"/>
    <w:rsid w:val="004E6209"/>
    <w:rsid w:val="004E73AC"/>
    <w:rsid w:val="004F09D3"/>
    <w:rsid w:val="004F644B"/>
    <w:rsid w:val="004F6911"/>
    <w:rsid w:val="0050727B"/>
    <w:rsid w:val="005072C0"/>
    <w:rsid w:val="00511A6F"/>
    <w:rsid w:val="005132D6"/>
    <w:rsid w:val="0051447F"/>
    <w:rsid w:val="0051590D"/>
    <w:rsid w:val="00521B23"/>
    <w:rsid w:val="005261CD"/>
    <w:rsid w:val="00530D61"/>
    <w:rsid w:val="00532188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43CE"/>
    <w:rsid w:val="005659E6"/>
    <w:rsid w:val="00566D56"/>
    <w:rsid w:val="00570A3F"/>
    <w:rsid w:val="00571D20"/>
    <w:rsid w:val="00573C64"/>
    <w:rsid w:val="00573C70"/>
    <w:rsid w:val="005800CB"/>
    <w:rsid w:val="005803B8"/>
    <w:rsid w:val="00581686"/>
    <w:rsid w:val="00583898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A92"/>
    <w:rsid w:val="005A0D8C"/>
    <w:rsid w:val="005A4020"/>
    <w:rsid w:val="005A45A0"/>
    <w:rsid w:val="005A67F8"/>
    <w:rsid w:val="005B06C7"/>
    <w:rsid w:val="005B3244"/>
    <w:rsid w:val="005C2A5C"/>
    <w:rsid w:val="005C5315"/>
    <w:rsid w:val="005C7D75"/>
    <w:rsid w:val="005D4F39"/>
    <w:rsid w:val="005D5F3E"/>
    <w:rsid w:val="005D682C"/>
    <w:rsid w:val="005D6B2F"/>
    <w:rsid w:val="005E0F87"/>
    <w:rsid w:val="005E193F"/>
    <w:rsid w:val="005E5080"/>
    <w:rsid w:val="005F2EE1"/>
    <w:rsid w:val="005F4945"/>
    <w:rsid w:val="005F539D"/>
    <w:rsid w:val="00600343"/>
    <w:rsid w:val="006030F1"/>
    <w:rsid w:val="00605111"/>
    <w:rsid w:val="0060689E"/>
    <w:rsid w:val="00606C8E"/>
    <w:rsid w:val="006103C6"/>
    <w:rsid w:val="00612371"/>
    <w:rsid w:val="006127E9"/>
    <w:rsid w:val="00612FBD"/>
    <w:rsid w:val="006175E3"/>
    <w:rsid w:val="0062203C"/>
    <w:rsid w:val="006226C9"/>
    <w:rsid w:val="0062652F"/>
    <w:rsid w:val="00631A93"/>
    <w:rsid w:val="006320F2"/>
    <w:rsid w:val="00634F0E"/>
    <w:rsid w:val="00637A3A"/>
    <w:rsid w:val="006463A0"/>
    <w:rsid w:val="00655980"/>
    <w:rsid w:val="0065756E"/>
    <w:rsid w:val="00662A0C"/>
    <w:rsid w:val="00666443"/>
    <w:rsid w:val="006665A2"/>
    <w:rsid w:val="00666B7B"/>
    <w:rsid w:val="00670A1E"/>
    <w:rsid w:val="00672B11"/>
    <w:rsid w:val="00673196"/>
    <w:rsid w:val="00681E2A"/>
    <w:rsid w:val="0068244E"/>
    <w:rsid w:val="00690B38"/>
    <w:rsid w:val="006915F8"/>
    <w:rsid w:val="00691E8E"/>
    <w:rsid w:val="00693B03"/>
    <w:rsid w:val="00697647"/>
    <w:rsid w:val="006A1E7A"/>
    <w:rsid w:val="006A24E3"/>
    <w:rsid w:val="006A47D1"/>
    <w:rsid w:val="006A4C7A"/>
    <w:rsid w:val="006A5E31"/>
    <w:rsid w:val="006B0C32"/>
    <w:rsid w:val="006B4A80"/>
    <w:rsid w:val="006B6385"/>
    <w:rsid w:val="006B77D1"/>
    <w:rsid w:val="006C1C4A"/>
    <w:rsid w:val="006C1F00"/>
    <w:rsid w:val="006C495A"/>
    <w:rsid w:val="006C544D"/>
    <w:rsid w:val="006C73E9"/>
    <w:rsid w:val="006D22AC"/>
    <w:rsid w:val="006D3F6F"/>
    <w:rsid w:val="006D4309"/>
    <w:rsid w:val="006E0459"/>
    <w:rsid w:val="006E09D3"/>
    <w:rsid w:val="006E2B57"/>
    <w:rsid w:val="006E3131"/>
    <w:rsid w:val="006E7863"/>
    <w:rsid w:val="006F3A7C"/>
    <w:rsid w:val="006F66EE"/>
    <w:rsid w:val="00700076"/>
    <w:rsid w:val="0070068C"/>
    <w:rsid w:val="00701ECF"/>
    <w:rsid w:val="007028A3"/>
    <w:rsid w:val="007060DD"/>
    <w:rsid w:val="007073EC"/>
    <w:rsid w:val="007155B0"/>
    <w:rsid w:val="0071760E"/>
    <w:rsid w:val="0072088C"/>
    <w:rsid w:val="00722143"/>
    <w:rsid w:val="00722AA1"/>
    <w:rsid w:val="00723704"/>
    <w:rsid w:val="0072505E"/>
    <w:rsid w:val="007257AB"/>
    <w:rsid w:val="00727CC7"/>
    <w:rsid w:val="00733EBB"/>
    <w:rsid w:val="007347B8"/>
    <w:rsid w:val="0073604B"/>
    <w:rsid w:val="00736131"/>
    <w:rsid w:val="0073738B"/>
    <w:rsid w:val="00740786"/>
    <w:rsid w:val="00742628"/>
    <w:rsid w:val="00742B95"/>
    <w:rsid w:val="0074313C"/>
    <w:rsid w:val="00744AC3"/>
    <w:rsid w:val="00744ECF"/>
    <w:rsid w:val="00745C3C"/>
    <w:rsid w:val="00753712"/>
    <w:rsid w:val="00756E6E"/>
    <w:rsid w:val="00757D56"/>
    <w:rsid w:val="00757D7A"/>
    <w:rsid w:val="007623FF"/>
    <w:rsid w:val="0076476C"/>
    <w:rsid w:val="00766676"/>
    <w:rsid w:val="0076746C"/>
    <w:rsid w:val="00774969"/>
    <w:rsid w:val="00777128"/>
    <w:rsid w:val="00793720"/>
    <w:rsid w:val="00793C53"/>
    <w:rsid w:val="0079590F"/>
    <w:rsid w:val="007964F6"/>
    <w:rsid w:val="007A0A41"/>
    <w:rsid w:val="007B4328"/>
    <w:rsid w:val="007B4E88"/>
    <w:rsid w:val="007B5F86"/>
    <w:rsid w:val="007C0150"/>
    <w:rsid w:val="007C048D"/>
    <w:rsid w:val="007C161C"/>
    <w:rsid w:val="007C519E"/>
    <w:rsid w:val="007D1A2A"/>
    <w:rsid w:val="007D6287"/>
    <w:rsid w:val="007D687E"/>
    <w:rsid w:val="007E0EFB"/>
    <w:rsid w:val="007E168C"/>
    <w:rsid w:val="007E2860"/>
    <w:rsid w:val="007E412D"/>
    <w:rsid w:val="007E4E87"/>
    <w:rsid w:val="007F1BA8"/>
    <w:rsid w:val="007F4B3D"/>
    <w:rsid w:val="007F77C8"/>
    <w:rsid w:val="007F792E"/>
    <w:rsid w:val="008015A2"/>
    <w:rsid w:val="0080174A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21E7"/>
    <w:rsid w:val="00883A46"/>
    <w:rsid w:val="008850A0"/>
    <w:rsid w:val="008917DA"/>
    <w:rsid w:val="008A1ECA"/>
    <w:rsid w:val="008A2E78"/>
    <w:rsid w:val="008A4A98"/>
    <w:rsid w:val="008A6056"/>
    <w:rsid w:val="008B0832"/>
    <w:rsid w:val="008B18B6"/>
    <w:rsid w:val="008B52DA"/>
    <w:rsid w:val="008B5379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0A8B"/>
    <w:rsid w:val="008E12C3"/>
    <w:rsid w:val="008E1ECF"/>
    <w:rsid w:val="008E28E9"/>
    <w:rsid w:val="008E7D1F"/>
    <w:rsid w:val="008E7DE3"/>
    <w:rsid w:val="008F5AF3"/>
    <w:rsid w:val="008F7CE8"/>
    <w:rsid w:val="00900525"/>
    <w:rsid w:val="009010E9"/>
    <w:rsid w:val="009029CE"/>
    <w:rsid w:val="00903A7D"/>
    <w:rsid w:val="00904106"/>
    <w:rsid w:val="00905684"/>
    <w:rsid w:val="00910BE4"/>
    <w:rsid w:val="00916276"/>
    <w:rsid w:val="00916B6A"/>
    <w:rsid w:val="00917BBF"/>
    <w:rsid w:val="00920FEE"/>
    <w:rsid w:val="00923D3F"/>
    <w:rsid w:val="00924E54"/>
    <w:rsid w:val="0094021C"/>
    <w:rsid w:val="009402C6"/>
    <w:rsid w:val="009409F4"/>
    <w:rsid w:val="00941484"/>
    <w:rsid w:val="00942C60"/>
    <w:rsid w:val="009430D7"/>
    <w:rsid w:val="00943A00"/>
    <w:rsid w:val="00946238"/>
    <w:rsid w:val="00947B5D"/>
    <w:rsid w:val="00951E9F"/>
    <w:rsid w:val="009531F0"/>
    <w:rsid w:val="00954208"/>
    <w:rsid w:val="00955A97"/>
    <w:rsid w:val="00955E20"/>
    <w:rsid w:val="00961117"/>
    <w:rsid w:val="009615AD"/>
    <w:rsid w:val="00962DCB"/>
    <w:rsid w:val="009637A1"/>
    <w:rsid w:val="00970B08"/>
    <w:rsid w:val="00975073"/>
    <w:rsid w:val="00975948"/>
    <w:rsid w:val="00976031"/>
    <w:rsid w:val="009824BE"/>
    <w:rsid w:val="0098749D"/>
    <w:rsid w:val="00987EDE"/>
    <w:rsid w:val="00992CA0"/>
    <w:rsid w:val="009935BD"/>
    <w:rsid w:val="009A41BF"/>
    <w:rsid w:val="009A512D"/>
    <w:rsid w:val="009A741A"/>
    <w:rsid w:val="009A766C"/>
    <w:rsid w:val="009B1065"/>
    <w:rsid w:val="009B1FA8"/>
    <w:rsid w:val="009B4D36"/>
    <w:rsid w:val="009C0CFB"/>
    <w:rsid w:val="009C3D7A"/>
    <w:rsid w:val="009C57BA"/>
    <w:rsid w:val="009C5CD5"/>
    <w:rsid w:val="009C7C69"/>
    <w:rsid w:val="009D192F"/>
    <w:rsid w:val="009D514B"/>
    <w:rsid w:val="009E446E"/>
    <w:rsid w:val="009F5B8B"/>
    <w:rsid w:val="00A00CAA"/>
    <w:rsid w:val="00A04464"/>
    <w:rsid w:val="00A0587C"/>
    <w:rsid w:val="00A06058"/>
    <w:rsid w:val="00A113BA"/>
    <w:rsid w:val="00A124B0"/>
    <w:rsid w:val="00A13CA7"/>
    <w:rsid w:val="00A1468F"/>
    <w:rsid w:val="00A154B9"/>
    <w:rsid w:val="00A22735"/>
    <w:rsid w:val="00A24317"/>
    <w:rsid w:val="00A24B91"/>
    <w:rsid w:val="00A262D1"/>
    <w:rsid w:val="00A3647F"/>
    <w:rsid w:val="00A40C5B"/>
    <w:rsid w:val="00A4133B"/>
    <w:rsid w:val="00A415D4"/>
    <w:rsid w:val="00A42955"/>
    <w:rsid w:val="00A42A0B"/>
    <w:rsid w:val="00A4329D"/>
    <w:rsid w:val="00A4360D"/>
    <w:rsid w:val="00A45E23"/>
    <w:rsid w:val="00A46781"/>
    <w:rsid w:val="00A46F86"/>
    <w:rsid w:val="00A52155"/>
    <w:rsid w:val="00A53A62"/>
    <w:rsid w:val="00A53B4A"/>
    <w:rsid w:val="00A55198"/>
    <w:rsid w:val="00A552C3"/>
    <w:rsid w:val="00A60258"/>
    <w:rsid w:val="00A625C6"/>
    <w:rsid w:val="00A65C1D"/>
    <w:rsid w:val="00A67E45"/>
    <w:rsid w:val="00A70915"/>
    <w:rsid w:val="00A7127C"/>
    <w:rsid w:val="00A73D84"/>
    <w:rsid w:val="00A75242"/>
    <w:rsid w:val="00A76B10"/>
    <w:rsid w:val="00A80553"/>
    <w:rsid w:val="00A85F8F"/>
    <w:rsid w:val="00A90C5A"/>
    <w:rsid w:val="00A914B0"/>
    <w:rsid w:val="00A93BAB"/>
    <w:rsid w:val="00A96B4F"/>
    <w:rsid w:val="00A9790B"/>
    <w:rsid w:val="00AA73D3"/>
    <w:rsid w:val="00AB0161"/>
    <w:rsid w:val="00AB2D17"/>
    <w:rsid w:val="00AB5DB8"/>
    <w:rsid w:val="00AB60A0"/>
    <w:rsid w:val="00AC473F"/>
    <w:rsid w:val="00AC58FB"/>
    <w:rsid w:val="00AC668F"/>
    <w:rsid w:val="00AD1C7C"/>
    <w:rsid w:val="00AD26A3"/>
    <w:rsid w:val="00AD4FF2"/>
    <w:rsid w:val="00AD5C89"/>
    <w:rsid w:val="00AE550C"/>
    <w:rsid w:val="00AF0C4E"/>
    <w:rsid w:val="00AF1C01"/>
    <w:rsid w:val="00AF2AD0"/>
    <w:rsid w:val="00AF50E9"/>
    <w:rsid w:val="00AF5A1F"/>
    <w:rsid w:val="00B04F9F"/>
    <w:rsid w:val="00B04FDE"/>
    <w:rsid w:val="00B07670"/>
    <w:rsid w:val="00B12E46"/>
    <w:rsid w:val="00B21168"/>
    <w:rsid w:val="00B21A1C"/>
    <w:rsid w:val="00B228AC"/>
    <w:rsid w:val="00B238F3"/>
    <w:rsid w:val="00B23B09"/>
    <w:rsid w:val="00B4021B"/>
    <w:rsid w:val="00B42154"/>
    <w:rsid w:val="00B43F95"/>
    <w:rsid w:val="00B44478"/>
    <w:rsid w:val="00B45C76"/>
    <w:rsid w:val="00B47330"/>
    <w:rsid w:val="00B50174"/>
    <w:rsid w:val="00B5057B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9650C"/>
    <w:rsid w:val="00BA0BFF"/>
    <w:rsid w:val="00BA2483"/>
    <w:rsid w:val="00BA6C67"/>
    <w:rsid w:val="00BB04A5"/>
    <w:rsid w:val="00BB0C6F"/>
    <w:rsid w:val="00BB14A5"/>
    <w:rsid w:val="00BB2B51"/>
    <w:rsid w:val="00BB563D"/>
    <w:rsid w:val="00BB5891"/>
    <w:rsid w:val="00BB6FD6"/>
    <w:rsid w:val="00BC5EA5"/>
    <w:rsid w:val="00BC609F"/>
    <w:rsid w:val="00BC6F0C"/>
    <w:rsid w:val="00BD02A5"/>
    <w:rsid w:val="00BE0CF2"/>
    <w:rsid w:val="00BE7A6D"/>
    <w:rsid w:val="00BF1614"/>
    <w:rsid w:val="00BF18DE"/>
    <w:rsid w:val="00BF3254"/>
    <w:rsid w:val="00BF5716"/>
    <w:rsid w:val="00C0088C"/>
    <w:rsid w:val="00C00D2D"/>
    <w:rsid w:val="00C01751"/>
    <w:rsid w:val="00C04446"/>
    <w:rsid w:val="00C04630"/>
    <w:rsid w:val="00C05B6C"/>
    <w:rsid w:val="00C07565"/>
    <w:rsid w:val="00C108F0"/>
    <w:rsid w:val="00C159BF"/>
    <w:rsid w:val="00C16B7B"/>
    <w:rsid w:val="00C170F2"/>
    <w:rsid w:val="00C173B5"/>
    <w:rsid w:val="00C231A0"/>
    <w:rsid w:val="00C2389D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1F21"/>
    <w:rsid w:val="00C52A27"/>
    <w:rsid w:val="00C54B47"/>
    <w:rsid w:val="00C5597F"/>
    <w:rsid w:val="00C56CE7"/>
    <w:rsid w:val="00C642DD"/>
    <w:rsid w:val="00C70392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2E1C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B6A1E"/>
    <w:rsid w:val="00CC0DAC"/>
    <w:rsid w:val="00CC19EF"/>
    <w:rsid w:val="00CC2640"/>
    <w:rsid w:val="00CC2FA3"/>
    <w:rsid w:val="00CC6142"/>
    <w:rsid w:val="00CC6743"/>
    <w:rsid w:val="00CD0A5C"/>
    <w:rsid w:val="00CD18F0"/>
    <w:rsid w:val="00CD70A2"/>
    <w:rsid w:val="00CE0092"/>
    <w:rsid w:val="00CE34C9"/>
    <w:rsid w:val="00CE554B"/>
    <w:rsid w:val="00CE688F"/>
    <w:rsid w:val="00CF6C46"/>
    <w:rsid w:val="00CF7740"/>
    <w:rsid w:val="00D00343"/>
    <w:rsid w:val="00D03912"/>
    <w:rsid w:val="00D076F5"/>
    <w:rsid w:val="00D14805"/>
    <w:rsid w:val="00D152AA"/>
    <w:rsid w:val="00D15EB6"/>
    <w:rsid w:val="00D16314"/>
    <w:rsid w:val="00D16718"/>
    <w:rsid w:val="00D20E4E"/>
    <w:rsid w:val="00D2271E"/>
    <w:rsid w:val="00D27100"/>
    <w:rsid w:val="00D271C5"/>
    <w:rsid w:val="00D27A5D"/>
    <w:rsid w:val="00D3493F"/>
    <w:rsid w:val="00D44393"/>
    <w:rsid w:val="00D50C97"/>
    <w:rsid w:val="00D546A9"/>
    <w:rsid w:val="00D54926"/>
    <w:rsid w:val="00D56B72"/>
    <w:rsid w:val="00D57DB9"/>
    <w:rsid w:val="00D63464"/>
    <w:rsid w:val="00D65436"/>
    <w:rsid w:val="00D657DC"/>
    <w:rsid w:val="00D65CFD"/>
    <w:rsid w:val="00D66EFD"/>
    <w:rsid w:val="00D74A4B"/>
    <w:rsid w:val="00D77833"/>
    <w:rsid w:val="00D808E5"/>
    <w:rsid w:val="00D819CC"/>
    <w:rsid w:val="00D8240F"/>
    <w:rsid w:val="00D8379A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F75"/>
    <w:rsid w:val="00DB4FD4"/>
    <w:rsid w:val="00DB55F2"/>
    <w:rsid w:val="00DC2A93"/>
    <w:rsid w:val="00DD041F"/>
    <w:rsid w:val="00DD728C"/>
    <w:rsid w:val="00DD744A"/>
    <w:rsid w:val="00DE1D71"/>
    <w:rsid w:val="00DE46DC"/>
    <w:rsid w:val="00DE684F"/>
    <w:rsid w:val="00DE7CF5"/>
    <w:rsid w:val="00DF3E28"/>
    <w:rsid w:val="00DF4501"/>
    <w:rsid w:val="00DF5114"/>
    <w:rsid w:val="00DF5446"/>
    <w:rsid w:val="00DF6EA8"/>
    <w:rsid w:val="00DF6EB0"/>
    <w:rsid w:val="00E01048"/>
    <w:rsid w:val="00E0271C"/>
    <w:rsid w:val="00E051EB"/>
    <w:rsid w:val="00E119B4"/>
    <w:rsid w:val="00E13347"/>
    <w:rsid w:val="00E17E5C"/>
    <w:rsid w:val="00E21534"/>
    <w:rsid w:val="00E251AC"/>
    <w:rsid w:val="00E26BD7"/>
    <w:rsid w:val="00E26C15"/>
    <w:rsid w:val="00E26EA6"/>
    <w:rsid w:val="00E27F23"/>
    <w:rsid w:val="00E30392"/>
    <w:rsid w:val="00E325EB"/>
    <w:rsid w:val="00E3279D"/>
    <w:rsid w:val="00E36412"/>
    <w:rsid w:val="00E37DA3"/>
    <w:rsid w:val="00E40CFA"/>
    <w:rsid w:val="00E415D8"/>
    <w:rsid w:val="00E4395A"/>
    <w:rsid w:val="00E4594C"/>
    <w:rsid w:val="00E45D0A"/>
    <w:rsid w:val="00E46640"/>
    <w:rsid w:val="00E467BE"/>
    <w:rsid w:val="00E52A59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847A4"/>
    <w:rsid w:val="00E84D7A"/>
    <w:rsid w:val="00E87BCA"/>
    <w:rsid w:val="00E9238C"/>
    <w:rsid w:val="00E95C4D"/>
    <w:rsid w:val="00EA57FB"/>
    <w:rsid w:val="00EA5E74"/>
    <w:rsid w:val="00EA6273"/>
    <w:rsid w:val="00EA62B4"/>
    <w:rsid w:val="00EB026C"/>
    <w:rsid w:val="00EB1270"/>
    <w:rsid w:val="00EB2550"/>
    <w:rsid w:val="00EC383D"/>
    <w:rsid w:val="00ED1631"/>
    <w:rsid w:val="00ED21B4"/>
    <w:rsid w:val="00ED232C"/>
    <w:rsid w:val="00ED3AAA"/>
    <w:rsid w:val="00EE164E"/>
    <w:rsid w:val="00EE280B"/>
    <w:rsid w:val="00EE33CF"/>
    <w:rsid w:val="00EE4F35"/>
    <w:rsid w:val="00EF1C47"/>
    <w:rsid w:val="00EF262A"/>
    <w:rsid w:val="00EF3147"/>
    <w:rsid w:val="00F01D55"/>
    <w:rsid w:val="00F040C7"/>
    <w:rsid w:val="00F071D1"/>
    <w:rsid w:val="00F11A58"/>
    <w:rsid w:val="00F13CAA"/>
    <w:rsid w:val="00F149EE"/>
    <w:rsid w:val="00F1514C"/>
    <w:rsid w:val="00F16A21"/>
    <w:rsid w:val="00F17811"/>
    <w:rsid w:val="00F2554E"/>
    <w:rsid w:val="00F26946"/>
    <w:rsid w:val="00F31DF3"/>
    <w:rsid w:val="00F32497"/>
    <w:rsid w:val="00F33824"/>
    <w:rsid w:val="00F34953"/>
    <w:rsid w:val="00F37C71"/>
    <w:rsid w:val="00F422AF"/>
    <w:rsid w:val="00F43B0A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9042A"/>
    <w:rsid w:val="00F91876"/>
    <w:rsid w:val="00F922FB"/>
    <w:rsid w:val="00F930C3"/>
    <w:rsid w:val="00F966AF"/>
    <w:rsid w:val="00FA0B19"/>
    <w:rsid w:val="00FA1A57"/>
    <w:rsid w:val="00FA35BC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14D0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5F4945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5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19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7ADE-94BC-43C0-9788-7898F3C9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16</cp:revision>
  <dcterms:created xsi:type="dcterms:W3CDTF">2022-12-28T03:54:00Z</dcterms:created>
  <dcterms:modified xsi:type="dcterms:W3CDTF">2023-01-12T19:34:00Z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