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9492" w14:textId="77777777" w:rsidR="002B5122" w:rsidRDefault="002B5122" w:rsidP="002B5122">
      <w:pPr>
        <w:tabs>
          <w:tab w:val="left" w:pos="5982"/>
        </w:tabs>
        <w:rPr>
          <w:b/>
        </w:rPr>
      </w:pPr>
      <w:r w:rsidRPr="0037287D">
        <w:rPr>
          <w:b/>
        </w:rPr>
        <w:t xml:space="preserve">Section </w:t>
      </w:r>
      <w:r>
        <w:rPr>
          <w:b/>
        </w:rPr>
        <w:t>3</w:t>
      </w:r>
      <w:r w:rsidRPr="0037287D">
        <w:rPr>
          <w:b/>
        </w:rPr>
        <w:t>.</w:t>
      </w:r>
      <w:r>
        <w:rPr>
          <w:b/>
        </w:rPr>
        <w:t>4.3 – Non-proportional odds model</w:t>
      </w:r>
    </w:p>
    <w:p w14:paraId="38659CC6" w14:textId="77777777" w:rsidR="000958BF" w:rsidRDefault="000958BF" w:rsidP="00573A20"/>
    <w:p w14:paraId="2D3C3BD0" w14:textId="5C068052" w:rsidR="00573A20" w:rsidRDefault="00573A20" w:rsidP="00573A20">
      <w:pPr>
        <w:ind w:left="720"/>
      </w:pPr>
      <w:r w:rsidRPr="00573A20">
        <w:t>A proportional odds model is one of the preferred ways to account for an ordered multi</w:t>
      </w:r>
      <w:r w:rsidR="00535ADC">
        <w:t>category</w:t>
      </w:r>
      <w:r w:rsidRPr="00573A20">
        <w:t xml:space="preserve"> response, because it includes only one parameter for each explanatory variable. While this can greatly simplify the model, it may not work well for some problems. </w:t>
      </w:r>
    </w:p>
    <w:p w14:paraId="7ACF52E8" w14:textId="77777777" w:rsidR="00573A20" w:rsidRDefault="00573A20" w:rsidP="00573A20">
      <w:pPr>
        <w:ind w:left="720"/>
      </w:pPr>
    </w:p>
    <w:p w14:paraId="7EAC7EE5" w14:textId="77777777" w:rsidR="00573A20" w:rsidRDefault="00573A20" w:rsidP="00573A20">
      <w:pPr>
        <w:ind w:left="720"/>
      </w:pPr>
      <w:r>
        <w:t xml:space="preserve">A more general </w:t>
      </w:r>
      <w:r w:rsidRPr="00573A20">
        <w:t>model is</w:t>
      </w:r>
    </w:p>
    <w:p w14:paraId="3A8D17B2" w14:textId="77777777" w:rsidR="00573A20" w:rsidRDefault="00573A20" w:rsidP="00573A20"/>
    <w:p w14:paraId="51D2CEEC" w14:textId="77777777" w:rsidR="00573A20" w:rsidRDefault="00573A20" w:rsidP="00573A20">
      <w:pPr>
        <w:ind w:left="1440"/>
      </w:pPr>
      <w:r w:rsidRPr="00573A20">
        <w:rPr>
          <w:position w:val="-14"/>
        </w:rPr>
        <w:object w:dxaOrig="6259" w:dyaOrig="499" w14:anchorId="72799D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24.75pt" o:ole="">
            <v:imagedata r:id="rId8" o:title=""/>
          </v:shape>
          <o:OLEObject Type="Embed" ProgID="Equation.DSMT4" ShapeID="_x0000_i1025" DrawAspect="Content" ObjectID="_1735387354" r:id="rId9"/>
        </w:object>
      </w:r>
      <w:r w:rsidR="00866967">
        <w:t xml:space="preserve"> for j = 1, …, J - 1</w:t>
      </w:r>
    </w:p>
    <w:p w14:paraId="1F59039C" w14:textId="77777777" w:rsidR="00573A20" w:rsidRDefault="00573A20" w:rsidP="00573A20"/>
    <w:p w14:paraId="34EC4347" w14:textId="58110FE6" w:rsidR="00573A20" w:rsidRDefault="00573A20" w:rsidP="00573A20">
      <w:pPr>
        <w:ind w:left="720"/>
      </w:pPr>
      <w:r>
        <w:t xml:space="preserve">which I will simply refer to as a </w:t>
      </w:r>
      <w:r w:rsidRPr="006425C6">
        <w:rPr>
          <w:u w:val="single"/>
        </w:rPr>
        <w:t>non-proportional odds model</w:t>
      </w:r>
      <w:r w:rsidR="006425C6">
        <w:t xml:space="preserve"> (another type of </w:t>
      </w:r>
      <w:r w:rsidR="00732CE1" w:rsidRPr="00732CE1">
        <w:t>cumulative probability model</w:t>
      </w:r>
      <w:r w:rsidR="006425C6">
        <w:t>)</w:t>
      </w:r>
      <w:r>
        <w:t xml:space="preserve">. Notice the j subscript on the </w:t>
      </w:r>
      <w:r>
        <w:sym w:font="Symbol" w:char="F062"/>
      </w:r>
      <w:r>
        <w:rPr>
          <w:vertAlign w:val="subscript"/>
        </w:rPr>
        <w:t>j1</w:t>
      </w:r>
      <w:r>
        <w:t xml:space="preserve">, …, </w:t>
      </w:r>
      <w:r>
        <w:sym w:font="Symbol" w:char="F062"/>
      </w:r>
      <w:r>
        <w:rPr>
          <w:vertAlign w:val="subscript"/>
        </w:rPr>
        <w:t>jp</w:t>
      </w:r>
      <w:r>
        <w:t xml:space="preserve"> parameters in the model. By allowing for the </w:t>
      </w:r>
      <w:r w:rsidR="00026232">
        <w:t>regression parameters</w:t>
      </w:r>
      <w:r>
        <w:t xml:space="preserve"> to change for each response category, we can construct a </w:t>
      </w:r>
      <w:r w:rsidR="00726407">
        <w:t>test</w:t>
      </w:r>
      <w:r>
        <w:t xml:space="preserve"> </w:t>
      </w:r>
      <w:r w:rsidR="00235A6F">
        <w:t>of</w:t>
      </w:r>
      <w:r>
        <w:t xml:space="preserve"> the proportional odds assumption: </w:t>
      </w:r>
    </w:p>
    <w:p w14:paraId="66DDB8D5" w14:textId="77777777" w:rsidR="00573A20" w:rsidRDefault="00573A20" w:rsidP="00573A20">
      <w:pPr>
        <w:ind w:left="720"/>
      </w:pPr>
    </w:p>
    <w:p w14:paraId="6308AC80" w14:textId="77777777" w:rsidR="00573A20" w:rsidRDefault="00573A20" w:rsidP="00573A20">
      <w:pPr>
        <w:ind w:left="1440"/>
      </w:pPr>
      <w:r>
        <w:t>H</w:t>
      </w:r>
      <w:r>
        <w:rPr>
          <w:vertAlign w:val="subscript"/>
        </w:rPr>
        <w:t>0</w:t>
      </w:r>
      <w:r>
        <w:t xml:space="preserve">: </w:t>
      </w:r>
      <w:r>
        <w:sym w:font="Symbol" w:char="F062"/>
      </w:r>
      <w:r w:rsidR="00866967">
        <w:rPr>
          <w:vertAlign w:val="subscript"/>
        </w:rPr>
        <w:t>1r</w:t>
      </w:r>
      <w:r>
        <w:t xml:space="preserve"> = </w:t>
      </w:r>
      <w:r>
        <w:sym w:font="MT Extra" w:char="F04C"/>
      </w:r>
      <w:r>
        <w:t xml:space="preserve"> = </w:t>
      </w:r>
      <w:r>
        <w:sym w:font="Symbol" w:char="F062"/>
      </w:r>
      <w:r w:rsidR="00866967">
        <w:rPr>
          <w:vertAlign w:val="subscript"/>
        </w:rPr>
        <w:t>J-1,r</w:t>
      </w:r>
      <w:r w:rsidR="00866967">
        <w:t xml:space="preserve"> for r</w:t>
      </w:r>
      <w:r>
        <w:t xml:space="preserve"> = 1, …, </w:t>
      </w:r>
      <w:r w:rsidR="00866967">
        <w:t>p</w:t>
      </w:r>
    </w:p>
    <w:p w14:paraId="5ECEA4A2" w14:textId="77777777" w:rsidR="00573A20" w:rsidRDefault="00573A20" w:rsidP="00573A20">
      <w:pPr>
        <w:ind w:left="1440"/>
      </w:pPr>
      <w:r>
        <w:t>H</w:t>
      </w:r>
      <w:r>
        <w:rPr>
          <w:vertAlign w:val="subscript"/>
        </w:rPr>
        <w:t>a</w:t>
      </w:r>
      <w:r w:rsidR="00866967">
        <w:t>: Not all equal for some r</w:t>
      </w:r>
    </w:p>
    <w:p w14:paraId="388EB78A" w14:textId="77777777" w:rsidR="00573A20" w:rsidRDefault="00573A20" w:rsidP="00573A20">
      <w:pPr>
        <w:ind w:left="1440"/>
      </w:pPr>
    </w:p>
    <w:p w14:paraId="5623F70F" w14:textId="77777777" w:rsidR="00573A20" w:rsidRDefault="00FF7B22" w:rsidP="00573A20">
      <w:pPr>
        <w:ind w:left="720"/>
      </w:pPr>
      <w:r w:rsidRPr="00FF7B22">
        <w:t xml:space="preserve">If the proportional odds assumption is rejected, it may be preferred to use the non-proportional odds model for the data analysis of interest. However, the proportional odds model may still be preferred due to its smaller number of parameters. For example, a very large sample size could </w:t>
      </w:r>
      <w:r w:rsidRPr="00FF7B22">
        <w:lastRenderedPageBreak/>
        <w:t>result in a rejection of the null hypothesis even though there is little practical violation of the assumption.</w:t>
      </w:r>
    </w:p>
    <w:p w14:paraId="3CC9D0B1" w14:textId="77777777" w:rsidR="00FF7B22" w:rsidRDefault="00FF7B22" w:rsidP="00573A20">
      <w:pPr>
        <w:ind w:left="720"/>
      </w:pPr>
    </w:p>
    <w:p w14:paraId="2557F2C4" w14:textId="77777777" w:rsidR="00FF7B22" w:rsidRDefault="00FF7B22" w:rsidP="00573A20">
      <w:pPr>
        <w:ind w:left="720"/>
      </w:pPr>
      <w:r>
        <w:t xml:space="preserve">There is another reason why the proportional odds model may be preferred. The non-proportional odds model allows for </w:t>
      </w:r>
    </w:p>
    <w:p w14:paraId="3A090239" w14:textId="77777777" w:rsidR="00FF7B22" w:rsidRDefault="00FF7B22" w:rsidP="00573A20">
      <w:pPr>
        <w:ind w:left="720"/>
      </w:pPr>
    </w:p>
    <w:p w14:paraId="06A72751" w14:textId="77777777" w:rsidR="00FF7B22" w:rsidRDefault="00FF7B22" w:rsidP="00FF7B22">
      <w:pPr>
        <w:ind w:left="1440"/>
      </w:pPr>
      <w:r>
        <w:t xml:space="preserve">P(Y </w:t>
      </w:r>
      <w:r>
        <w:sym w:font="Symbol" w:char="F0A3"/>
      </w:r>
      <w:r>
        <w:t xml:space="preserve"> j) &lt; P(Y </w:t>
      </w:r>
      <w:r>
        <w:sym w:font="Symbol" w:char="F0A3"/>
      </w:r>
      <w:r>
        <w:t xml:space="preserve"> j</w:t>
      </w:r>
      <w:r>
        <w:sym w:font="Symbol" w:char="F0A2"/>
      </w:r>
      <w:r>
        <w:t>) for j &gt; j</w:t>
      </w:r>
      <w:r>
        <w:sym w:font="Symbol" w:char="F0A2"/>
      </w:r>
      <w:r>
        <w:t xml:space="preserve"> </w:t>
      </w:r>
    </w:p>
    <w:p w14:paraId="559C0366" w14:textId="77777777" w:rsidR="00FF7B22" w:rsidRDefault="00FF7B22" w:rsidP="00573A20">
      <w:pPr>
        <w:ind w:left="720"/>
      </w:pPr>
    </w:p>
    <w:p w14:paraId="5D3B4A00" w14:textId="77777777" w:rsidR="00FF7B22" w:rsidRDefault="00FF7B22" w:rsidP="00573A20">
      <w:pPr>
        <w:ind w:left="720"/>
      </w:pPr>
      <w:r>
        <w:t xml:space="preserve">Why is this a problem? </w:t>
      </w:r>
    </w:p>
    <w:p w14:paraId="4692DC0F" w14:textId="77777777" w:rsidR="00FF7B22" w:rsidRDefault="00FF7B22" w:rsidP="00573A20">
      <w:pPr>
        <w:ind w:left="720"/>
      </w:pPr>
    </w:p>
    <w:p w14:paraId="0B11012C" w14:textId="77777777" w:rsidR="00FF7B22" w:rsidRDefault="00FF7B22" w:rsidP="00F07539">
      <w:pPr>
        <w:ind w:left="720"/>
      </w:pPr>
      <w:r w:rsidRPr="00FF7B22">
        <w:t>For this reason, care needs to be used with these models so that nonsensical probabilities do not occur.</w:t>
      </w:r>
    </w:p>
    <w:p w14:paraId="2666A0AB" w14:textId="77777777" w:rsidR="00F07539" w:rsidRDefault="00F07539" w:rsidP="00F07539">
      <w:pPr>
        <w:ind w:left="720"/>
      </w:pPr>
    </w:p>
    <w:p w14:paraId="4A2E95FD" w14:textId="77777777" w:rsidR="00F07539" w:rsidRDefault="00F07539" w:rsidP="00F07539">
      <w:pPr>
        <w:pStyle w:val="BodyTextIndent"/>
        <w:ind w:left="0"/>
      </w:pPr>
    </w:p>
    <w:p w14:paraId="783CEAE4" w14:textId="77777777" w:rsidR="00F07539" w:rsidRDefault="00F07539" w:rsidP="00F07539">
      <w:pPr>
        <w:pStyle w:val="BodyTextIndent"/>
        <w:ind w:left="0"/>
      </w:pPr>
      <w:r>
        <w:rPr>
          <w:u w:val="single"/>
        </w:rPr>
        <w:t>Example</w:t>
      </w:r>
      <w:r>
        <w:t xml:space="preserve">: </w:t>
      </w:r>
      <w:r w:rsidR="00235A6F">
        <w:t>Non-p</w:t>
      </w:r>
      <w:r>
        <w:t>roportional odds model plots (</w:t>
      </w:r>
      <w:r w:rsidR="00F23322">
        <w:t>CumulativeLogitModelP</w:t>
      </w:r>
      <w:r w:rsidRPr="00A42A21">
        <w:t>lot.R</w:t>
      </w:r>
      <w:r>
        <w:t>)</w:t>
      </w:r>
    </w:p>
    <w:p w14:paraId="540C20D1" w14:textId="77777777" w:rsidR="00F07539" w:rsidRPr="001270F3" w:rsidRDefault="00F07539" w:rsidP="00F07539">
      <w:pPr>
        <w:ind w:left="720"/>
      </w:pPr>
    </w:p>
    <w:p w14:paraId="7053D2A8" w14:textId="77777777" w:rsidR="00F07539" w:rsidRDefault="00F07539" w:rsidP="00F07539">
      <w:pPr>
        <w:ind w:left="720"/>
      </w:pPr>
      <w:r w:rsidRPr="001270F3">
        <w:t xml:space="preserve">The purpose </w:t>
      </w:r>
      <w:r w:rsidR="00235A6F">
        <w:t xml:space="preserve">here </w:t>
      </w:r>
      <w:r w:rsidRPr="001270F3">
        <w:t xml:space="preserve">is to </w:t>
      </w:r>
      <w:r>
        <w:t xml:space="preserve">show </w:t>
      </w:r>
      <w:r w:rsidR="00235A6F">
        <w:t xml:space="preserve">the problems </w:t>
      </w:r>
      <w:r>
        <w:t xml:space="preserve">that can occur with the non-proportional odds model. Consider the model of </w:t>
      </w:r>
    </w:p>
    <w:p w14:paraId="5AC563FA" w14:textId="77777777" w:rsidR="00F07539" w:rsidRDefault="00F07539" w:rsidP="00F07539">
      <w:pPr>
        <w:ind w:left="720"/>
      </w:pPr>
    </w:p>
    <w:p w14:paraId="61994BDB" w14:textId="77777777" w:rsidR="00F07539" w:rsidRDefault="00726407" w:rsidP="00F07539">
      <w:pPr>
        <w:ind w:left="1440"/>
      </w:pPr>
      <w:r w:rsidRPr="00F07539">
        <w:rPr>
          <w:position w:val="-14"/>
        </w:rPr>
        <w:object w:dxaOrig="4340" w:dyaOrig="499" w14:anchorId="3EA042FD">
          <v:shape id="_x0000_i1026" type="#_x0000_t75" style="width:216.75pt;height:24.75pt" o:ole="">
            <v:imagedata r:id="rId10" o:title=""/>
          </v:shape>
          <o:OLEObject Type="Embed" ProgID="Equation.DSMT4" ShapeID="_x0000_i1026" DrawAspect="Content" ObjectID="_1735387355" r:id="rId11"/>
        </w:object>
      </w:r>
    </w:p>
    <w:p w14:paraId="50FFE8D3" w14:textId="77777777" w:rsidR="00F07539" w:rsidRDefault="00F07539" w:rsidP="00F07539">
      <w:pPr>
        <w:ind w:left="720"/>
      </w:pPr>
    </w:p>
    <w:p w14:paraId="0493BF72" w14:textId="77777777" w:rsidR="00F07539" w:rsidRDefault="00F07539" w:rsidP="00F07539">
      <w:pPr>
        <w:ind w:left="720"/>
      </w:pPr>
      <w:r w:rsidRPr="003876B0">
        <w:t xml:space="preserve">where </w:t>
      </w:r>
      <w:r w:rsidR="003876B0" w:rsidRPr="003876B0">
        <w:rPr>
          <w:position w:val="-14"/>
        </w:rPr>
        <w:object w:dxaOrig="7460" w:dyaOrig="499" w14:anchorId="2536C23F">
          <v:shape id="_x0000_i1027" type="#_x0000_t75" style="width:373.5pt;height:24.75pt" o:ole="">
            <v:imagedata r:id="rId12" o:title=""/>
          </v:shape>
          <o:OLEObject Type="Embed" ProgID="Equation.DSMT4" ShapeID="_x0000_i1027" DrawAspect="Content" ObjectID="_1735387356" r:id="rId13"/>
        </w:object>
      </w:r>
      <w:r w:rsidRPr="003876B0">
        <w:t xml:space="preserve"> and J = 4. Notice this is the same model as we saw at the beginning of this </w:t>
      </w:r>
      <w:r w:rsidR="005741FD">
        <w:t>proportional odds model</w:t>
      </w:r>
      <w:r w:rsidRPr="003876B0">
        <w:t xml:space="preserve"> </w:t>
      </w:r>
      <w:r w:rsidR="005741FD">
        <w:t xml:space="preserve">section </w:t>
      </w:r>
      <w:r w:rsidRPr="003876B0">
        <w:t xml:space="preserve">except </w:t>
      </w:r>
      <w:r w:rsidR="003876B0" w:rsidRPr="003876B0">
        <w:rPr>
          <w:position w:val="-14"/>
        </w:rPr>
        <w:object w:dxaOrig="1380" w:dyaOrig="499" w14:anchorId="40C6B8AA">
          <v:shape id="_x0000_i1028" type="#_x0000_t75" style="width:69.75pt;height:24.75pt" o:ole="">
            <v:imagedata r:id="rId14" o:title=""/>
          </v:shape>
          <o:OLEObject Type="Embed" ProgID="Equation.DSMT4" ShapeID="_x0000_i1028" DrawAspect="Content" ObjectID="_1735387357" r:id="rId15"/>
        </w:object>
      </w:r>
      <w:r w:rsidRPr="003876B0">
        <w:t xml:space="preserve"> and </w:t>
      </w:r>
      <w:r w:rsidR="003876B0" w:rsidRPr="003876B0">
        <w:rPr>
          <w:position w:val="-14"/>
        </w:rPr>
        <w:object w:dxaOrig="1380" w:dyaOrig="499" w14:anchorId="22A71A11">
          <v:shape id="_x0000_i1029" type="#_x0000_t75" style="width:69.75pt;height:24.75pt" o:ole="">
            <v:imagedata r:id="rId16" o:title=""/>
          </v:shape>
          <o:OLEObject Type="Embed" ProgID="Equation.DSMT4" ShapeID="_x0000_i1029" DrawAspect="Content" ObjectID="_1735387358" r:id="rId17"/>
        </w:object>
      </w:r>
    </w:p>
    <w:p w14:paraId="33243542" w14:textId="77777777" w:rsidR="00F07539" w:rsidRDefault="00F07539" w:rsidP="00F07539">
      <w:pPr>
        <w:ind w:left="720"/>
      </w:pPr>
    </w:p>
    <w:p w14:paraId="0F1BEB56" w14:textId="77777777" w:rsidR="00F07539" w:rsidRDefault="00726407" w:rsidP="00F07539">
      <w:pPr>
        <w:ind w:left="720"/>
      </w:pPr>
      <w:r>
        <w:lastRenderedPageBreak/>
        <w:t xml:space="preserve">Below is a plot of the model: </w:t>
      </w:r>
    </w:p>
    <w:p w14:paraId="3D200B39" w14:textId="77777777" w:rsidR="000958BF" w:rsidRDefault="00026232" w:rsidP="000958BF">
      <w:pPr>
        <w:rPr>
          <w:highlight w:val="green"/>
        </w:rPr>
      </w:pPr>
      <w:r w:rsidRPr="00026232">
        <w:rPr>
          <w:noProof/>
        </w:rPr>
        <w:drawing>
          <wp:inline distT="0" distB="0" distL="0" distR="0" wp14:anchorId="7F9FBC83" wp14:editId="2E0FF297">
            <wp:extent cx="6858000" cy="3906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B6067" w14:textId="77777777" w:rsidR="00726407" w:rsidRDefault="005741FD" w:rsidP="00726407">
      <w:pPr>
        <w:ind w:left="720"/>
      </w:pPr>
      <w:r>
        <w:t>The</w:t>
      </w:r>
      <w:r w:rsidR="00726407" w:rsidRPr="00726407">
        <w:t xml:space="preserve"> cumulative probability curve for</w:t>
      </w:r>
      <w:r w:rsidR="00726407">
        <w:t xml:space="preserve"> P(Y </w:t>
      </w:r>
      <w:r w:rsidR="00726407">
        <w:sym w:font="Symbol" w:char="F0A3"/>
      </w:r>
      <w:r w:rsidR="00726407">
        <w:t xml:space="preserve"> 3) crosses the other two curves! This means that P(Y </w:t>
      </w:r>
      <w:r w:rsidR="00726407">
        <w:sym w:font="Symbol" w:char="F0A3"/>
      </w:r>
      <w:r w:rsidR="00726407">
        <w:t xml:space="preserve"> 3) &lt; P(Y </w:t>
      </w:r>
      <w:r w:rsidR="00726407">
        <w:sym w:font="Symbol" w:char="F0A3"/>
      </w:r>
      <w:r w:rsidR="00726407">
        <w:t xml:space="preserve"> 2) and P(Y </w:t>
      </w:r>
      <w:r w:rsidR="00726407">
        <w:sym w:font="Symbol" w:char="F0A3"/>
      </w:r>
      <w:r w:rsidR="00726407">
        <w:t xml:space="preserve"> 3) &lt; P(Y </w:t>
      </w:r>
      <w:r w:rsidR="00726407">
        <w:sym w:font="Symbol" w:char="F0A3"/>
      </w:r>
      <w:r w:rsidR="00726407">
        <w:t xml:space="preserve"> 1) for some value of x</w:t>
      </w:r>
      <w:r w:rsidR="00726407">
        <w:rPr>
          <w:vertAlign w:val="subscript"/>
        </w:rPr>
        <w:t>1</w:t>
      </w:r>
      <w:r w:rsidR="00726407">
        <w:t xml:space="preserve">. As a result, </w:t>
      </w:r>
      <w:r w:rsidR="00726407">
        <w:sym w:font="Symbol" w:char="F070"/>
      </w:r>
      <w:r w:rsidR="00726407">
        <w:rPr>
          <w:vertAlign w:val="subscript"/>
        </w:rPr>
        <w:t>3</w:t>
      </w:r>
      <w:r w:rsidR="00726407">
        <w:t xml:space="preserve"> &lt; 0 for some x</w:t>
      </w:r>
      <w:r w:rsidR="00726407">
        <w:rPr>
          <w:vertAlign w:val="subscript"/>
        </w:rPr>
        <w:t>1</w:t>
      </w:r>
      <w:r w:rsidR="00C76272">
        <w:t xml:space="preserve">, which can be seen in the plot of the right. </w:t>
      </w:r>
      <w:r w:rsidR="00726407">
        <w:t xml:space="preserve"> </w:t>
      </w:r>
    </w:p>
    <w:p w14:paraId="798E08F6" w14:textId="77777777" w:rsidR="00726407" w:rsidRDefault="00726407" w:rsidP="00726407">
      <w:pPr>
        <w:ind w:left="720"/>
      </w:pPr>
    </w:p>
    <w:p w14:paraId="58FAB263" w14:textId="77777777" w:rsidR="00726407" w:rsidRDefault="00726407" w:rsidP="00726407"/>
    <w:p w14:paraId="249A64E5" w14:textId="77777777" w:rsidR="00726407" w:rsidRDefault="00726407" w:rsidP="00726407">
      <w:pPr>
        <w:ind w:left="720"/>
      </w:pPr>
      <w:r>
        <w:t xml:space="preserve">The LRT for the proportional odds assumption cannot be performed through using the </w:t>
      </w:r>
      <w:r w:rsidRPr="00726407">
        <w:rPr>
          <w:rFonts w:ascii="Courier New" w:hAnsi="Courier New" w:cs="Courier New"/>
        </w:rPr>
        <w:t>polr()</w:t>
      </w:r>
      <w:r>
        <w:t xml:space="preserve"> function. Instead, I </w:t>
      </w:r>
      <w:r w:rsidR="00C76272">
        <w:t>show in my book how to use</w:t>
      </w:r>
      <w:r>
        <w:t xml:space="preserve"> the </w:t>
      </w:r>
      <w:r w:rsidRPr="00726407">
        <w:rPr>
          <w:rFonts w:ascii="Courier New" w:hAnsi="Courier New" w:cs="Courier New"/>
        </w:rPr>
        <w:t>vglm()</w:t>
      </w:r>
      <w:r>
        <w:t xml:space="preserve"> function from the VGAM package to help perform the test. </w:t>
      </w:r>
    </w:p>
    <w:p w14:paraId="521D725E" w14:textId="77777777" w:rsidR="00414A36" w:rsidRPr="00414A36" w:rsidRDefault="00414A36" w:rsidP="00726407">
      <w:pPr>
        <w:ind w:left="720"/>
        <w:rPr>
          <w:highlight w:val="green"/>
        </w:rPr>
      </w:pPr>
    </w:p>
    <w:p w14:paraId="4EB95D6F" w14:textId="77777777" w:rsidR="000A2A66" w:rsidRDefault="000A2A6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8424AA2" w14:textId="77777777" w:rsidR="000958BF" w:rsidRPr="0037287D" w:rsidRDefault="000958BF" w:rsidP="000958BF">
      <w:pPr>
        <w:tabs>
          <w:tab w:val="left" w:pos="5982"/>
        </w:tabs>
        <w:rPr>
          <w:b/>
        </w:rPr>
      </w:pPr>
      <w:r w:rsidRPr="0037287D">
        <w:rPr>
          <w:b/>
        </w:rPr>
        <w:lastRenderedPageBreak/>
        <w:t xml:space="preserve">Section </w:t>
      </w:r>
      <w:r>
        <w:rPr>
          <w:b/>
        </w:rPr>
        <w:t>3</w:t>
      </w:r>
      <w:r w:rsidRPr="0037287D">
        <w:rPr>
          <w:b/>
        </w:rPr>
        <w:t>.</w:t>
      </w:r>
      <w:r>
        <w:rPr>
          <w:b/>
        </w:rPr>
        <w:t>5 – Additional regression models</w:t>
      </w:r>
    </w:p>
    <w:p w14:paraId="6236047D" w14:textId="77777777" w:rsidR="000958BF" w:rsidRDefault="000958BF" w:rsidP="000958BF">
      <w:pPr>
        <w:rPr>
          <w:highlight w:val="green"/>
        </w:rPr>
      </w:pPr>
    </w:p>
    <w:p w14:paraId="4D570EDE" w14:textId="77777777" w:rsidR="00B0732E" w:rsidRDefault="00B0732E" w:rsidP="00B0732E">
      <w:pPr>
        <w:ind w:left="720"/>
      </w:pPr>
      <w:r>
        <w:t xml:space="preserve">There are a number of other models that can be used with multinomial responses. One of these is the </w:t>
      </w:r>
      <w:r w:rsidRPr="00B0732E">
        <w:rPr>
          <w:u w:val="single"/>
        </w:rPr>
        <w:t>adjacent-categories model</w:t>
      </w:r>
      <w:r>
        <w:t xml:space="preserve">: </w:t>
      </w:r>
    </w:p>
    <w:p w14:paraId="1FE2443A" w14:textId="77777777" w:rsidR="00B0732E" w:rsidRDefault="00B0732E" w:rsidP="00B0732E">
      <w:pPr>
        <w:ind w:left="720"/>
      </w:pPr>
    </w:p>
    <w:p w14:paraId="466015EC" w14:textId="77777777" w:rsidR="00B0732E" w:rsidRDefault="00866967" w:rsidP="00B0732E">
      <w:pPr>
        <w:ind w:left="1440"/>
      </w:pPr>
      <w:r w:rsidRPr="00B0732E">
        <w:rPr>
          <w:position w:val="-14"/>
        </w:rPr>
        <w:object w:dxaOrig="5860" w:dyaOrig="499" w14:anchorId="34DA4E38">
          <v:shape id="_x0000_i1030" type="#_x0000_t75" style="width:293.25pt;height:24.75pt" o:ole="">
            <v:imagedata r:id="rId19" o:title=""/>
          </v:shape>
          <o:OLEObject Type="Embed" ProgID="Equation.DSMT4" ShapeID="_x0000_i1030" DrawAspect="Content" ObjectID="_1735387359" r:id="rId20"/>
        </w:object>
      </w:r>
    </w:p>
    <w:p w14:paraId="6F35E90E" w14:textId="77777777" w:rsidR="00B0732E" w:rsidRDefault="00B0732E" w:rsidP="00B0732E">
      <w:pPr>
        <w:ind w:left="720"/>
      </w:pPr>
    </w:p>
    <w:p w14:paraId="023AB4A0" w14:textId="77777777" w:rsidR="00B0732E" w:rsidRDefault="00B0732E" w:rsidP="00B0732E">
      <w:pPr>
        <w:ind w:left="720"/>
      </w:pPr>
      <w:r>
        <w:t>where j = 1, …, J – 1, which is somewhat similar to the multinomial regression model. To take advantage of an ordinal response, one could use the model</w:t>
      </w:r>
    </w:p>
    <w:p w14:paraId="21301F64" w14:textId="77777777" w:rsidR="00B0732E" w:rsidRDefault="00B0732E" w:rsidP="00B0732E">
      <w:pPr>
        <w:ind w:left="720"/>
      </w:pPr>
    </w:p>
    <w:p w14:paraId="4E30FAD3" w14:textId="77777777" w:rsidR="00B0732E" w:rsidRDefault="00866967" w:rsidP="00B0732E">
      <w:pPr>
        <w:ind w:left="1440"/>
      </w:pPr>
      <w:r w:rsidRPr="00B0732E">
        <w:rPr>
          <w:position w:val="-14"/>
        </w:rPr>
        <w:object w:dxaOrig="5720" w:dyaOrig="499" w14:anchorId="35F77922">
          <v:shape id="_x0000_i1031" type="#_x0000_t75" style="width:286.5pt;height:24.75pt" o:ole="">
            <v:imagedata r:id="rId21" o:title=""/>
          </v:shape>
          <o:OLEObject Type="Embed" ProgID="Equation.DSMT4" ShapeID="_x0000_i1031" DrawAspect="Content" ObjectID="_1735387360" r:id="rId22"/>
        </w:object>
      </w:r>
    </w:p>
    <w:p w14:paraId="481343AC" w14:textId="77777777" w:rsidR="00B0732E" w:rsidRDefault="00B0732E" w:rsidP="00B0732E">
      <w:pPr>
        <w:ind w:left="720"/>
      </w:pPr>
    </w:p>
    <w:p w14:paraId="26180137" w14:textId="18607E14" w:rsidR="00B0732E" w:rsidRDefault="00B0732E" w:rsidP="00866967">
      <w:pPr>
        <w:ind w:left="720"/>
      </w:pPr>
      <w:r>
        <w:t xml:space="preserve">where j = 1, …, J – 1. Notice the </w:t>
      </w:r>
      <w:r w:rsidR="00866967">
        <w:t xml:space="preserve">removal of the </w:t>
      </w:r>
      <w:r>
        <w:t xml:space="preserve">j subscript on </w:t>
      </w:r>
      <w:r w:rsidR="00866967">
        <w:t>the last p – 1</w:t>
      </w:r>
      <w:r>
        <w:t xml:space="preserve"> </w:t>
      </w:r>
      <w:r w:rsidR="00906C8C">
        <w:t>regression</w:t>
      </w:r>
      <w:r>
        <w:t xml:space="preserve"> parameters. Both of these models can be fit in R using the </w:t>
      </w:r>
      <w:r w:rsidRPr="00B0732E">
        <w:rPr>
          <w:rFonts w:ascii="Courier New" w:hAnsi="Courier New" w:cs="Courier New"/>
        </w:rPr>
        <w:t>vg</w:t>
      </w:r>
      <w:r w:rsidR="00FE5E40">
        <w:rPr>
          <w:rFonts w:ascii="Courier New" w:hAnsi="Courier New" w:cs="Courier New"/>
        </w:rPr>
        <w:t>l</w:t>
      </w:r>
      <w:r w:rsidRPr="00B0732E">
        <w:rPr>
          <w:rFonts w:ascii="Courier New" w:hAnsi="Courier New" w:cs="Courier New"/>
        </w:rPr>
        <w:t>m()</w:t>
      </w:r>
      <w:r>
        <w:t xml:space="preserve"> function of the VGAM package. </w:t>
      </w:r>
    </w:p>
    <w:p w14:paraId="01F36BC2" w14:textId="77777777" w:rsidR="002B5122" w:rsidRDefault="002B5122" w:rsidP="002B5122">
      <w:pPr>
        <w:rPr>
          <w:highlight w:val="green"/>
        </w:rPr>
      </w:pPr>
    </w:p>
    <w:sectPr w:rsidR="002B5122" w:rsidSect="002B6218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B60E" w14:textId="77777777" w:rsidR="009851B8" w:rsidRDefault="009851B8" w:rsidP="006F27B5">
      <w:r>
        <w:separator/>
      </w:r>
    </w:p>
  </w:endnote>
  <w:endnote w:type="continuationSeparator" w:id="0">
    <w:p w14:paraId="0804DC17" w14:textId="77777777" w:rsidR="009851B8" w:rsidRDefault="009851B8" w:rsidP="006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1" w:fontKey="{72ADB51C-8802-4850-9F8A-F7A987AC12A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8DA7" w14:textId="77777777" w:rsidR="009851B8" w:rsidRDefault="009851B8" w:rsidP="006F27B5">
      <w:r>
        <w:separator/>
      </w:r>
    </w:p>
  </w:footnote>
  <w:footnote w:type="continuationSeparator" w:id="0">
    <w:p w14:paraId="0CA96F5A" w14:textId="77777777" w:rsidR="009851B8" w:rsidRDefault="009851B8" w:rsidP="006F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256215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A2AA7B" w14:textId="77777777" w:rsidR="008E3C5F" w:rsidRPr="006F27B5" w:rsidRDefault="008E3C5F">
        <w:pPr>
          <w:pStyle w:val="Header"/>
          <w:jc w:val="right"/>
          <w:rPr>
            <w:sz w:val="32"/>
            <w:szCs w:val="32"/>
          </w:rPr>
        </w:pPr>
        <w:r w:rsidRPr="006F27B5">
          <w:rPr>
            <w:sz w:val="32"/>
            <w:szCs w:val="32"/>
          </w:rPr>
          <w:fldChar w:fldCharType="begin"/>
        </w:r>
        <w:r w:rsidRPr="006F27B5">
          <w:rPr>
            <w:sz w:val="32"/>
            <w:szCs w:val="32"/>
          </w:rPr>
          <w:instrText xml:space="preserve"> PAGE   \* MERGEFORMAT </w:instrText>
        </w:r>
        <w:r w:rsidRPr="006F27B5">
          <w:rPr>
            <w:sz w:val="32"/>
            <w:szCs w:val="32"/>
          </w:rPr>
          <w:fldChar w:fldCharType="separate"/>
        </w:r>
        <w:r w:rsidR="00C251DF">
          <w:rPr>
            <w:noProof/>
            <w:sz w:val="32"/>
            <w:szCs w:val="32"/>
          </w:rPr>
          <w:t>4</w:t>
        </w:r>
        <w:r w:rsidRPr="006F27B5">
          <w:rPr>
            <w:noProof/>
            <w:sz w:val="32"/>
            <w:szCs w:val="32"/>
          </w:rPr>
          <w:fldChar w:fldCharType="end"/>
        </w:r>
      </w:p>
    </w:sdtContent>
  </w:sdt>
  <w:p w14:paraId="18730654" w14:textId="77777777" w:rsidR="008E3C5F" w:rsidRDefault="008E3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70B"/>
    <w:multiLevelType w:val="hybridMultilevel"/>
    <w:tmpl w:val="26C6F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E7CAF"/>
    <w:multiLevelType w:val="hybridMultilevel"/>
    <w:tmpl w:val="4C9A2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201C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20B324A8"/>
    <w:multiLevelType w:val="hybridMultilevel"/>
    <w:tmpl w:val="0DBC4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57844"/>
    <w:multiLevelType w:val="hybridMultilevel"/>
    <w:tmpl w:val="122C6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26A90"/>
    <w:multiLevelType w:val="hybridMultilevel"/>
    <w:tmpl w:val="5E40460C"/>
    <w:lvl w:ilvl="0" w:tplc="0ACA2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27FCD"/>
    <w:multiLevelType w:val="hybridMultilevel"/>
    <w:tmpl w:val="558E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657DE"/>
    <w:multiLevelType w:val="hybridMultilevel"/>
    <w:tmpl w:val="55647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856165"/>
    <w:multiLevelType w:val="hybridMultilevel"/>
    <w:tmpl w:val="3A901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C24D5"/>
    <w:multiLevelType w:val="hybridMultilevel"/>
    <w:tmpl w:val="A23A3D90"/>
    <w:lvl w:ilvl="0" w:tplc="E99EF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A76AB"/>
    <w:multiLevelType w:val="hybridMultilevel"/>
    <w:tmpl w:val="8710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A33BA6"/>
    <w:multiLevelType w:val="hybridMultilevel"/>
    <w:tmpl w:val="244E4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C42E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D17743"/>
    <w:multiLevelType w:val="hybridMultilevel"/>
    <w:tmpl w:val="1FE61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014778"/>
    <w:multiLevelType w:val="hybridMultilevel"/>
    <w:tmpl w:val="FD3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8580C"/>
    <w:multiLevelType w:val="hybridMultilevel"/>
    <w:tmpl w:val="363C268E"/>
    <w:lvl w:ilvl="0" w:tplc="3702AFC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2E34CE"/>
    <w:multiLevelType w:val="hybridMultilevel"/>
    <w:tmpl w:val="E5A2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276CB"/>
    <w:multiLevelType w:val="hybridMultilevel"/>
    <w:tmpl w:val="35820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531B95"/>
    <w:multiLevelType w:val="hybridMultilevel"/>
    <w:tmpl w:val="8F982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7127DF"/>
    <w:multiLevelType w:val="hybridMultilevel"/>
    <w:tmpl w:val="8C483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8559E0"/>
    <w:multiLevelType w:val="hybridMultilevel"/>
    <w:tmpl w:val="32EAB49E"/>
    <w:lvl w:ilvl="0" w:tplc="E3EEA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A756F9"/>
    <w:multiLevelType w:val="hybridMultilevel"/>
    <w:tmpl w:val="D0AE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845C89"/>
    <w:multiLevelType w:val="hybridMultilevel"/>
    <w:tmpl w:val="79C4E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9C712B"/>
    <w:multiLevelType w:val="hybridMultilevel"/>
    <w:tmpl w:val="AF281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0F5A26"/>
    <w:multiLevelType w:val="hybridMultilevel"/>
    <w:tmpl w:val="7DD4B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6A1FB0"/>
    <w:multiLevelType w:val="hybridMultilevel"/>
    <w:tmpl w:val="9C5AA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332F88"/>
    <w:multiLevelType w:val="hybridMultilevel"/>
    <w:tmpl w:val="78F82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0B248A"/>
    <w:multiLevelType w:val="hybridMultilevel"/>
    <w:tmpl w:val="018A4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9B0C6D"/>
    <w:multiLevelType w:val="hybridMultilevel"/>
    <w:tmpl w:val="B3B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B934FB"/>
    <w:multiLevelType w:val="hybridMultilevel"/>
    <w:tmpl w:val="5B16D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AB01C2"/>
    <w:multiLevelType w:val="hybridMultilevel"/>
    <w:tmpl w:val="2878D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F27F8"/>
    <w:multiLevelType w:val="hybridMultilevel"/>
    <w:tmpl w:val="40BE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81190">
    <w:abstractNumId w:val="32"/>
  </w:num>
  <w:num w:numId="2" w16cid:durableId="523371895">
    <w:abstractNumId w:val="14"/>
  </w:num>
  <w:num w:numId="3" w16cid:durableId="298922315">
    <w:abstractNumId w:val="21"/>
  </w:num>
  <w:num w:numId="4" w16cid:durableId="637220779">
    <w:abstractNumId w:val="31"/>
  </w:num>
  <w:num w:numId="5" w16cid:durableId="702679649">
    <w:abstractNumId w:val="22"/>
  </w:num>
  <w:num w:numId="6" w16cid:durableId="396755390">
    <w:abstractNumId w:val="18"/>
  </w:num>
  <w:num w:numId="7" w16cid:durableId="391082303">
    <w:abstractNumId w:val="6"/>
  </w:num>
  <w:num w:numId="8" w16cid:durableId="77137453">
    <w:abstractNumId w:val="17"/>
  </w:num>
  <w:num w:numId="9" w16cid:durableId="1256477026">
    <w:abstractNumId w:val="29"/>
  </w:num>
  <w:num w:numId="10" w16cid:durableId="1794011833">
    <w:abstractNumId w:val="4"/>
  </w:num>
  <w:num w:numId="11" w16cid:durableId="760487223">
    <w:abstractNumId w:val="5"/>
  </w:num>
  <w:num w:numId="12" w16cid:durableId="1254126164">
    <w:abstractNumId w:val="7"/>
  </w:num>
  <w:num w:numId="13" w16cid:durableId="1582258016">
    <w:abstractNumId w:val="24"/>
  </w:num>
  <w:num w:numId="14" w16cid:durableId="881135299">
    <w:abstractNumId w:val="9"/>
  </w:num>
  <w:num w:numId="15" w16cid:durableId="1569030139">
    <w:abstractNumId w:val="3"/>
  </w:num>
  <w:num w:numId="16" w16cid:durableId="223299807">
    <w:abstractNumId w:val="8"/>
  </w:num>
  <w:num w:numId="17" w16cid:durableId="981345847">
    <w:abstractNumId w:val="15"/>
  </w:num>
  <w:num w:numId="18" w16cid:durableId="2108766020">
    <w:abstractNumId w:val="20"/>
  </w:num>
  <w:num w:numId="19" w16cid:durableId="1080714842">
    <w:abstractNumId w:val="10"/>
  </w:num>
  <w:num w:numId="20" w16cid:durableId="1834567449">
    <w:abstractNumId w:val="16"/>
  </w:num>
  <w:num w:numId="21" w16cid:durableId="21321317">
    <w:abstractNumId w:val="26"/>
  </w:num>
  <w:num w:numId="22" w16cid:durableId="1340162250">
    <w:abstractNumId w:val="28"/>
  </w:num>
  <w:num w:numId="23" w16cid:durableId="990864267">
    <w:abstractNumId w:val="2"/>
  </w:num>
  <w:num w:numId="24" w16cid:durableId="1842355063">
    <w:abstractNumId w:val="30"/>
  </w:num>
  <w:num w:numId="25" w16cid:durableId="1837332954">
    <w:abstractNumId w:val="19"/>
  </w:num>
  <w:num w:numId="26" w16cid:durableId="1312103929">
    <w:abstractNumId w:val="12"/>
  </w:num>
  <w:num w:numId="27" w16cid:durableId="701981598">
    <w:abstractNumId w:val="23"/>
  </w:num>
  <w:num w:numId="28" w16cid:durableId="396317518">
    <w:abstractNumId w:val="25"/>
  </w:num>
  <w:num w:numId="29" w16cid:durableId="944731525">
    <w:abstractNumId w:val="13"/>
  </w:num>
  <w:num w:numId="30" w16cid:durableId="1721442210">
    <w:abstractNumId w:val="0"/>
  </w:num>
  <w:num w:numId="31" w16cid:durableId="7105987">
    <w:abstractNumId w:val="1"/>
  </w:num>
  <w:num w:numId="32" w16cid:durableId="1867712018">
    <w:abstractNumId w:val="11"/>
  </w:num>
  <w:num w:numId="33" w16cid:durableId="8931958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B5"/>
    <w:rsid w:val="00006150"/>
    <w:rsid w:val="00007491"/>
    <w:rsid w:val="000120C2"/>
    <w:rsid w:val="00015CA1"/>
    <w:rsid w:val="0002343B"/>
    <w:rsid w:val="00026232"/>
    <w:rsid w:val="000329D4"/>
    <w:rsid w:val="00034C58"/>
    <w:rsid w:val="00035DA9"/>
    <w:rsid w:val="00036C81"/>
    <w:rsid w:val="00040552"/>
    <w:rsid w:val="00040B1E"/>
    <w:rsid w:val="000415B0"/>
    <w:rsid w:val="00055A3E"/>
    <w:rsid w:val="00056E6D"/>
    <w:rsid w:val="000600DC"/>
    <w:rsid w:val="000602D6"/>
    <w:rsid w:val="000705EE"/>
    <w:rsid w:val="000822E7"/>
    <w:rsid w:val="00087D49"/>
    <w:rsid w:val="00091018"/>
    <w:rsid w:val="00092756"/>
    <w:rsid w:val="000958BF"/>
    <w:rsid w:val="000A2A66"/>
    <w:rsid w:val="000B050B"/>
    <w:rsid w:val="000B1461"/>
    <w:rsid w:val="000B2693"/>
    <w:rsid w:val="000D0380"/>
    <w:rsid w:val="000D7794"/>
    <w:rsid w:val="000F3200"/>
    <w:rsid w:val="001016B2"/>
    <w:rsid w:val="00101E32"/>
    <w:rsid w:val="00104060"/>
    <w:rsid w:val="00110635"/>
    <w:rsid w:val="001168AA"/>
    <w:rsid w:val="00116EFA"/>
    <w:rsid w:val="0012194D"/>
    <w:rsid w:val="001270F3"/>
    <w:rsid w:val="001326E5"/>
    <w:rsid w:val="00132840"/>
    <w:rsid w:val="00143AC6"/>
    <w:rsid w:val="0015291B"/>
    <w:rsid w:val="001557B3"/>
    <w:rsid w:val="00155ACC"/>
    <w:rsid w:val="00166FAE"/>
    <w:rsid w:val="0017240D"/>
    <w:rsid w:val="0017340E"/>
    <w:rsid w:val="0018491E"/>
    <w:rsid w:val="001919EF"/>
    <w:rsid w:val="001A5DD9"/>
    <w:rsid w:val="001C2F50"/>
    <w:rsid w:val="001C7FC5"/>
    <w:rsid w:val="001D3282"/>
    <w:rsid w:val="001E5CA8"/>
    <w:rsid w:val="001F71F3"/>
    <w:rsid w:val="002000F1"/>
    <w:rsid w:val="0020149E"/>
    <w:rsid w:val="00214CA8"/>
    <w:rsid w:val="00223F9A"/>
    <w:rsid w:val="00224290"/>
    <w:rsid w:val="0022549E"/>
    <w:rsid w:val="00231101"/>
    <w:rsid w:val="00235A6F"/>
    <w:rsid w:val="00245E41"/>
    <w:rsid w:val="00247009"/>
    <w:rsid w:val="0025551F"/>
    <w:rsid w:val="0026249D"/>
    <w:rsid w:val="002641FE"/>
    <w:rsid w:val="00267B9F"/>
    <w:rsid w:val="0028503C"/>
    <w:rsid w:val="00285EA5"/>
    <w:rsid w:val="00291F9D"/>
    <w:rsid w:val="002B5122"/>
    <w:rsid w:val="002B6218"/>
    <w:rsid w:val="002B6E88"/>
    <w:rsid w:val="002C6A24"/>
    <w:rsid w:val="002D0E59"/>
    <w:rsid w:val="002D16EA"/>
    <w:rsid w:val="002D3845"/>
    <w:rsid w:val="002D4F62"/>
    <w:rsid w:val="002D5905"/>
    <w:rsid w:val="002D59B5"/>
    <w:rsid w:val="002E61DF"/>
    <w:rsid w:val="00325458"/>
    <w:rsid w:val="00334D26"/>
    <w:rsid w:val="00335ACC"/>
    <w:rsid w:val="00344DE2"/>
    <w:rsid w:val="00376765"/>
    <w:rsid w:val="003876B0"/>
    <w:rsid w:val="003907FC"/>
    <w:rsid w:val="003A1E44"/>
    <w:rsid w:val="003A21AF"/>
    <w:rsid w:val="003B504D"/>
    <w:rsid w:val="003B5267"/>
    <w:rsid w:val="003E24C2"/>
    <w:rsid w:val="00410EFC"/>
    <w:rsid w:val="004127B7"/>
    <w:rsid w:val="00414A36"/>
    <w:rsid w:val="00420E37"/>
    <w:rsid w:val="0042543F"/>
    <w:rsid w:val="00443E2B"/>
    <w:rsid w:val="0044669E"/>
    <w:rsid w:val="0045509E"/>
    <w:rsid w:val="0048276B"/>
    <w:rsid w:val="0048435D"/>
    <w:rsid w:val="004A1D01"/>
    <w:rsid w:val="004B3D1E"/>
    <w:rsid w:val="004C50B7"/>
    <w:rsid w:val="004D1649"/>
    <w:rsid w:val="004D6E4B"/>
    <w:rsid w:val="004E7F24"/>
    <w:rsid w:val="004F2D21"/>
    <w:rsid w:val="004F644B"/>
    <w:rsid w:val="004F797D"/>
    <w:rsid w:val="004F7F8D"/>
    <w:rsid w:val="00500D08"/>
    <w:rsid w:val="00501473"/>
    <w:rsid w:val="0050200C"/>
    <w:rsid w:val="0050342A"/>
    <w:rsid w:val="005122A4"/>
    <w:rsid w:val="0051296C"/>
    <w:rsid w:val="00513A4A"/>
    <w:rsid w:val="00514703"/>
    <w:rsid w:val="005162B1"/>
    <w:rsid w:val="00520481"/>
    <w:rsid w:val="005242BE"/>
    <w:rsid w:val="0053312A"/>
    <w:rsid w:val="00535929"/>
    <w:rsid w:val="00535ADC"/>
    <w:rsid w:val="00536F46"/>
    <w:rsid w:val="00546EC5"/>
    <w:rsid w:val="00555775"/>
    <w:rsid w:val="00561481"/>
    <w:rsid w:val="00573A20"/>
    <w:rsid w:val="005741FD"/>
    <w:rsid w:val="00575664"/>
    <w:rsid w:val="005857A0"/>
    <w:rsid w:val="00587890"/>
    <w:rsid w:val="00595747"/>
    <w:rsid w:val="005A2163"/>
    <w:rsid w:val="005A2D16"/>
    <w:rsid w:val="005A3009"/>
    <w:rsid w:val="005A4284"/>
    <w:rsid w:val="005B1CB0"/>
    <w:rsid w:val="005B57C4"/>
    <w:rsid w:val="005B5BBF"/>
    <w:rsid w:val="005B68C4"/>
    <w:rsid w:val="005C189A"/>
    <w:rsid w:val="005D46B8"/>
    <w:rsid w:val="005E3B40"/>
    <w:rsid w:val="005E49F7"/>
    <w:rsid w:val="005E735F"/>
    <w:rsid w:val="00602D18"/>
    <w:rsid w:val="00620572"/>
    <w:rsid w:val="0062153D"/>
    <w:rsid w:val="006412AB"/>
    <w:rsid w:val="006425C6"/>
    <w:rsid w:val="00646A65"/>
    <w:rsid w:val="006704DA"/>
    <w:rsid w:val="00672728"/>
    <w:rsid w:val="0068222F"/>
    <w:rsid w:val="00682A5C"/>
    <w:rsid w:val="00687901"/>
    <w:rsid w:val="00691B36"/>
    <w:rsid w:val="006B53CD"/>
    <w:rsid w:val="006B7D62"/>
    <w:rsid w:val="006C386D"/>
    <w:rsid w:val="006E220D"/>
    <w:rsid w:val="006E246B"/>
    <w:rsid w:val="006E3131"/>
    <w:rsid w:val="006F166A"/>
    <w:rsid w:val="006F27B5"/>
    <w:rsid w:val="006F2CD4"/>
    <w:rsid w:val="006F3100"/>
    <w:rsid w:val="006F7E3B"/>
    <w:rsid w:val="007073D5"/>
    <w:rsid w:val="007103B0"/>
    <w:rsid w:val="007129B0"/>
    <w:rsid w:val="00712A69"/>
    <w:rsid w:val="00726407"/>
    <w:rsid w:val="00732CE1"/>
    <w:rsid w:val="00737F4E"/>
    <w:rsid w:val="0074407A"/>
    <w:rsid w:val="00744ECF"/>
    <w:rsid w:val="007451F3"/>
    <w:rsid w:val="0075020E"/>
    <w:rsid w:val="00757D7A"/>
    <w:rsid w:val="0076221B"/>
    <w:rsid w:val="00762AF0"/>
    <w:rsid w:val="0076316A"/>
    <w:rsid w:val="0076652B"/>
    <w:rsid w:val="007725C3"/>
    <w:rsid w:val="00774095"/>
    <w:rsid w:val="00781F8D"/>
    <w:rsid w:val="00783AEA"/>
    <w:rsid w:val="00783ED9"/>
    <w:rsid w:val="00796D2C"/>
    <w:rsid w:val="007A1A13"/>
    <w:rsid w:val="007B62C1"/>
    <w:rsid w:val="007C72F2"/>
    <w:rsid w:val="007D4914"/>
    <w:rsid w:val="007D6303"/>
    <w:rsid w:val="007F2AA0"/>
    <w:rsid w:val="008016BC"/>
    <w:rsid w:val="00803F8F"/>
    <w:rsid w:val="00811EF4"/>
    <w:rsid w:val="00817921"/>
    <w:rsid w:val="00824300"/>
    <w:rsid w:val="0082442E"/>
    <w:rsid w:val="00826C9A"/>
    <w:rsid w:val="008449B8"/>
    <w:rsid w:val="008662C7"/>
    <w:rsid w:val="00866967"/>
    <w:rsid w:val="00874A73"/>
    <w:rsid w:val="008824E7"/>
    <w:rsid w:val="00890D7E"/>
    <w:rsid w:val="008A0AB9"/>
    <w:rsid w:val="008A0B2B"/>
    <w:rsid w:val="008B52DA"/>
    <w:rsid w:val="008C2AFC"/>
    <w:rsid w:val="008D3EA3"/>
    <w:rsid w:val="008D7F1F"/>
    <w:rsid w:val="008E0789"/>
    <w:rsid w:val="008E27E7"/>
    <w:rsid w:val="008E3C5F"/>
    <w:rsid w:val="008E3F64"/>
    <w:rsid w:val="008E7537"/>
    <w:rsid w:val="008F79BB"/>
    <w:rsid w:val="00906C8C"/>
    <w:rsid w:val="00914FF9"/>
    <w:rsid w:val="00917EAC"/>
    <w:rsid w:val="009211C1"/>
    <w:rsid w:val="009224AF"/>
    <w:rsid w:val="00942EF8"/>
    <w:rsid w:val="00946EC2"/>
    <w:rsid w:val="00974422"/>
    <w:rsid w:val="00975C78"/>
    <w:rsid w:val="00983F54"/>
    <w:rsid w:val="009851B8"/>
    <w:rsid w:val="00986F28"/>
    <w:rsid w:val="00987C2E"/>
    <w:rsid w:val="00991937"/>
    <w:rsid w:val="009A5C06"/>
    <w:rsid w:val="009B4D36"/>
    <w:rsid w:val="009C2AC7"/>
    <w:rsid w:val="009C4335"/>
    <w:rsid w:val="009D661A"/>
    <w:rsid w:val="009E66CC"/>
    <w:rsid w:val="009F06B9"/>
    <w:rsid w:val="00A04E3B"/>
    <w:rsid w:val="00A067D5"/>
    <w:rsid w:val="00A07E45"/>
    <w:rsid w:val="00A205C4"/>
    <w:rsid w:val="00A22986"/>
    <w:rsid w:val="00A33E3B"/>
    <w:rsid w:val="00A42A21"/>
    <w:rsid w:val="00A451F9"/>
    <w:rsid w:val="00A67E36"/>
    <w:rsid w:val="00A70F12"/>
    <w:rsid w:val="00A73D84"/>
    <w:rsid w:val="00A77924"/>
    <w:rsid w:val="00A827AD"/>
    <w:rsid w:val="00A87D23"/>
    <w:rsid w:val="00A903F8"/>
    <w:rsid w:val="00A9164E"/>
    <w:rsid w:val="00A916B5"/>
    <w:rsid w:val="00AA31A3"/>
    <w:rsid w:val="00AC24A1"/>
    <w:rsid w:val="00AD3007"/>
    <w:rsid w:val="00AE61B2"/>
    <w:rsid w:val="00AE6787"/>
    <w:rsid w:val="00AF09D1"/>
    <w:rsid w:val="00AF4574"/>
    <w:rsid w:val="00AF7204"/>
    <w:rsid w:val="00B031E9"/>
    <w:rsid w:val="00B03E73"/>
    <w:rsid w:val="00B04FDE"/>
    <w:rsid w:val="00B0732E"/>
    <w:rsid w:val="00B162C2"/>
    <w:rsid w:val="00B2212B"/>
    <w:rsid w:val="00B238F3"/>
    <w:rsid w:val="00B30783"/>
    <w:rsid w:val="00B33D79"/>
    <w:rsid w:val="00B3677A"/>
    <w:rsid w:val="00B414B0"/>
    <w:rsid w:val="00B46493"/>
    <w:rsid w:val="00B5057B"/>
    <w:rsid w:val="00B72B9F"/>
    <w:rsid w:val="00B75E4B"/>
    <w:rsid w:val="00B771D9"/>
    <w:rsid w:val="00B94C2D"/>
    <w:rsid w:val="00B96E8F"/>
    <w:rsid w:val="00BA099D"/>
    <w:rsid w:val="00BA5B22"/>
    <w:rsid w:val="00BA63FA"/>
    <w:rsid w:val="00BB13FB"/>
    <w:rsid w:val="00BB3A7B"/>
    <w:rsid w:val="00BC0839"/>
    <w:rsid w:val="00BC60E6"/>
    <w:rsid w:val="00BF11E5"/>
    <w:rsid w:val="00BF256F"/>
    <w:rsid w:val="00BF3D2B"/>
    <w:rsid w:val="00C00D55"/>
    <w:rsid w:val="00C04F70"/>
    <w:rsid w:val="00C105AE"/>
    <w:rsid w:val="00C171A0"/>
    <w:rsid w:val="00C22658"/>
    <w:rsid w:val="00C251DF"/>
    <w:rsid w:val="00C30379"/>
    <w:rsid w:val="00C3116B"/>
    <w:rsid w:val="00C31B97"/>
    <w:rsid w:val="00C31D7D"/>
    <w:rsid w:val="00C32D54"/>
    <w:rsid w:val="00C43757"/>
    <w:rsid w:val="00C51908"/>
    <w:rsid w:val="00C51EC4"/>
    <w:rsid w:val="00C53A00"/>
    <w:rsid w:val="00C53B77"/>
    <w:rsid w:val="00C55C12"/>
    <w:rsid w:val="00C6404A"/>
    <w:rsid w:val="00C64773"/>
    <w:rsid w:val="00C676A0"/>
    <w:rsid w:val="00C75EAF"/>
    <w:rsid w:val="00C76272"/>
    <w:rsid w:val="00C81A44"/>
    <w:rsid w:val="00C94935"/>
    <w:rsid w:val="00CA374E"/>
    <w:rsid w:val="00CA6418"/>
    <w:rsid w:val="00CB3807"/>
    <w:rsid w:val="00CB5D06"/>
    <w:rsid w:val="00CD2502"/>
    <w:rsid w:val="00CD3438"/>
    <w:rsid w:val="00CD3E47"/>
    <w:rsid w:val="00CD6E09"/>
    <w:rsid w:val="00CF3DD3"/>
    <w:rsid w:val="00D132BA"/>
    <w:rsid w:val="00D13D2E"/>
    <w:rsid w:val="00D17E2F"/>
    <w:rsid w:val="00D409ED"/>
    <w:rsid w:val="00D6227F"/>
    <w:rsid w:val="00D6523A"/>
    <w:rsid w:val="00D80A3D"/>
    <w:rsid w:val="00D843F7"/>
    <w:rsid w:val="00D877E9"/>
    <w:rsid w:val="00D90510"/>
    <w:rsid w:val="00D9102B"/>
    <w:rsid w:val="00D95B78"/>
    <w:rsid w:val="00D96F36"/>
    <w:rsid w:val="00DA11D5"/>
    <w:rsid w:val="00DA3071"/>
    <w:rsid w:val="00DB2393"/>
    <w:rsid w:val="00DB2818"/>
    <w:rsid w:val="00DD7D45"/>
    <w:rsid w:val="00E0493A"/>
    <w:rsid w:val="00E05A85"/>
    <w:rsid w:val="00E10A45"/>
    <w:rsid w:val="00E13260"/>
    <w:rsid w:val="00E21647"/>
    <w:rsid w:val="00E21F70"/>
    <w:rsid w:val="00E23796"/>
    <w:rsid w:val="00E25F8C"/>
    <w:rsid w:val="00E268B0"/>
    <w:rsid w:val="00E273B0"/>
    <w:rsid w:val="00E30C93"/>
    <w:rsid w:val="00E37F53"/>
    <w:rsid w:val="00E5051D"/>
    <w:rsid w:val="00E55F41"/>
    <w:rsid w:val="00E56D65"/>
    <w:rsid w:val="00E81702"/>
    <w:rsid w:val="00E860D0"/>
    <w:rsid w:val="00E901F3"/>
    <w:rsid w:val="00E94600"/>
    <w:rsid w:val="00EA7098"/>
    <w:rsid w:val="00EB0E77"/>
    <w:rsid w:val="00EB122C"/>
    <w:rsid w:val="00EB4E92"/>
    <w:rsid w:val="00EC4B99"/>
    <w:rsid w:val="00EE780D"/>
    <w:rsid w:val="00EF4509"/>
    <w:rsid w:val="00EF47DE"/>
    <w:rsid w:val="00EF6C58"/>
    <w:rsid w:val="00F010F1"/>
    <w:rsid w:val="00F04BB4"/>
    <w:rsid w:val="00F07539"/>
    <w:rsid w:val="00F10065"/>
    <w:rsid w:val="00F176E2"/>
    <w:rsid w:val="00F206FF"/>
    <w:rsid w:val="00F23322"/>
    <w:rsid w:val="00F3409E"/>
    <w:rsid w:val="00F40531"/>
    <w:rsid w:val="00F422AF"/>
    <w:rsid w:val="00F44771"/>
    <w:rsid w:val="00F45415"/>
    <w:rsid w:val="00F46682"/>
    <w:rsid w:val="00F51F3A"/>
    <w:rsid w:val="00F549A7"/>
    <w:rsid w:val="00F57013"/>
    <w:rsid w:val="00F6296B"/>
    <w:rsid w:val="00F67AEB"/>
    <w:rsid w:val="00F73CA5"/>
    <w:rsid w:val="00FB044E"/>
    <w:rsid w:val="00FB2C3F"/>
    <w:rsid w:val="00FD0CC0"/>
    <w:rsid w:val="00FD67F9"/>
    <w:rsid w:val="00FE5E40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B370"/>
  <w15:docId w15:val="{0FEE8198-5EE7-45DD-9802-B874A489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60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rsid w:val="005857A0"/>
    <w:pPr>
      <w:ind w:left="720"/>
    </w:pPr>
    <w:rPr>
      <w:rFonts w:ascii="Courier New" w:hAnsi="Courier New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4">
    <w:name w:val="R-14"/>
    <w:basedOn w:val="Normal"/>
    <w:autoRedefine/>
    <w:qFormat/>
    <w:rsid w:val="001168AA"/>
    <w:pPr>
      <w:ind w:left="1440" w:hanging="720"/>
      <w:jc w:val="left"/>
    </w:pPr>
    <w:rPr>
      <w:rFonts w:ascii="Courier New" w:hAnsi="Courier New"/>
      <w:sz w:val="28"/>
      <w:szCs w:val="24"/>
    </w:rPr>
  </w:style>
  <w:style w:type="paragraph" w:styleId="ListParagraph">
    <w:name w:val="List Paragraph"/>
    <w:basedOn w:val="Normal"/>
    <w:uiPriority w:val="34"/>
    <w:qFormat/>
    <w:rsid w:val="006F2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B5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6F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B5"/>
    <w:rPr>
      <w:rFonts w:eastAsia="Times New Roman" w:cs="Times New Roman"/>
      <w:sz w:val="40"/>
      <w:szCs w:val="20"/>
    </w:rPr>
  </w:style>
  <w:style w:type="paragraph" w:styleId="BodyTextIndent">
    <w:name w:val="Body Text Indent"/>
    <w:basedOn w:val="Normal"/>
    <w:link w:val="BodyTextIndentChar"/>
    <w:rsid w:val="008F79BB"/>
    <w:pPr>
      <w:ind w:left="720"/>
    </w:pPr>
    <w:rPr>
      <w:rFonts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8F79BB"/>
    <w:rPr>
      <w:rFonts w:eastAsia="Times New Roman" w:cs="Arial"/>
      <w:sz w:val="40"/>
      <w:szCs w:val="40"/>
    </w:rPr>
  </w:style>
  <w:style w:type="table" w:styleId="TableGrid">
    <w:name w:val="Table Grid"/>
    <w:basedOn w:val="TableNormal"/>
    <w:uiPriority w:val="59"/>
    <w:rsid w:val="00D1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F7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49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649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0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3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4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28E4-509F-4C9E-B650-A4E15A89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Chris2</dc:creator>
  <cp:lastModifiedBy>Christopher Bilder</cp:lastModifiedBy>
  <cp:revision>9</cp:revision>
  <dcterms:created xsi:type="dcterms:W3CDTF">2022-12-29T14:22:00Z</dcterms:created>
  <dcterms:modified xsi:type="dcterms:W3CDTF">2023-01-16T20:15:00Z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