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2B2CA" w14:textId="44C6999E" w:rsidR="000F67DD" w:rsidRDefault="004E077B" w:rsidP="004E077B">
      <w:pPr>
        <w:rPr>
          <w:b/>
        </w:rPr>
      </w:pPr>
      <w:r w:rsidRPr="004E077B">
        <w:rPr>
          <w:b/>
        </w:rPr>
        <w:t xml:space="preserve">Section </w:t>
      </w:r>
      <w:r>
        <w:rPr>
          <w:b/>
        </w:rPr>
        <w:t>4.2.2</w:t>
      </w:r>
      <w:r w:rsidRPr="004E077B">
        <w:rPr>
          <w:b/>
        </w:rPr>
        <w:t xml:space="preserve"> </w:t>
      </w:r>
      <w:r>
        <w:rPr>
          <w:b/>
        </w:rPr>
        <w:t>–</w:t>
      </w:r>
      <w:r w:rsidRPr="004E077B">
        <w:rPr>
          <w:b/>
        </w:rPr>
        <w:t xml:space="preserve"> </w:t>
      </w:r>
      <w:r w:rsidR="005E73DC" w:rsidRPr="004E077B">
        <w:rPr>
          <w:b/>
        </w:rPr>
        <w:t>Parameter estimation</w:t>
      </w:r>
      <w:r w:rsidR="0087732E" w:rsidRPr="004E077B">
        <w:rPr>
          <w:b/>
        </w:rPr>
        <w:t xml:space="preserve"> and inference</w:t>
      </w:r>
      <w:r w:rsidR="0007056C">
        <w:rPr>
          <w:b/>
        </w:rPr>
        <w:t xml:space="preserve"> (continued) </w:t>
      </w:r>
    </w:p>
    <w:p w14:paraId="7123EE80" w14:textId="77777777" w:rsidR="0007056C" w:rsidRDefault="0007056C" w:rsidP="002F71D9">
      <w:pPr>
        <w:rPr>
          <w:u w:val="single"/>
        </w:rPr>
      </w:pPr>
    </w:p>
    <w:p w14:paraId="45F8861C" w14:textId="11792F9A" w:rsidR="002F71D9" w:rsidRPr="00343D68" w:rsidRDefault="000B41C6" w:rsidP="002F71D9">
      <w:pPr>
        <w:rPr>
          <w:u w:val="single"/>
        </w:rPr>
      </w:pPr>
      <w:r>
        <w:rPr>
          <w:u w:val="single"/>
        </w:rPr>
        <w:t>Model i</w:t>
      </w:r>
      <w:r w:rsidR="002F71D9" w:rsidRPr="00343D68">
        <w:rPr>
          <w:u w:val="single"/>
        </w:rPr>
        <w:t>nterpretation</w:t>
      </w:r>
    </w:p>
    <w:p w14:paraId="6A3DB9EF" w14:textId="77777777" w:rsidR="00343D68" w:rsidRDefault="00343D68" w:rsidP="00343D68"/>
    <w:p w14:paraId="5D12F6E4" w14:textId="277E10D0" w:rsidR="004A1440" w:rsidRDefault="004A1440" w:rsidP="004A1440">
      <w:pPr>
        <w:ind w:left="720"/>
      </w:pPr>
      <w:r>
        <w:t xml:space="preserve">We are no longer modeling the log-odds anymore so we will not use odds ratios to interpret the </w:t>
      </w:r>
      <w:r w:rsidR="000B41C6">
        <w:t>effect of an explanatory variable on the response</w:t>
      </w:r>
      <w:r w:rsidR="00935CDB">
        <w:t xml:space="preserve">. </w:t>
      </w:r>
    </w:p>
    <w:p w14:paraId="3B966657" w14:textId="77777777" w:rsidR="004A1440" w:rsidRDefault="004A1440" w:rsidP="004A1440">
      <w:pPr>
        <w:ind w:left="720"/>
      </w:pPr>
    </w:p>
    <w:p w14:paraId="13E0E575" w14:textId="77777777" w:rsidR="000B41C6" w:rsidRDefault="000B41C6" w:rsidP="004A1440">
      <w:pPr>
        <w:ind w:left="720"/>
      </w:pPr>
      <w:r>
        <w:t xml:space="preserve">Consider a model with one explanatory variable again: </w:t>
      </w:r>
    </w:p>
    <w:p w14:paraId="35CF88C7" w14:textId="77777777" w:rsidR="000B41C6" w:rsidRDefault="000B41C6" w:rsidP="004A1440">
      <w:pPr>
        <w:ind w:left="720"/>
      </w:pPr>
    </w:p>
    <w:p w14:paraId="75BF1ADF" w14:textId="77777777" w:rsidR="000B41C6" w:rsidRDefault="000B41C6" w:rsidP="000B41C6">
      <w:pPr>
        <w:ind w:left="1440"/>
      </w:pPr>
      <w:r>
        <w:sym w:font="Symbol" w:char="F06D"/>
      </w:r>
      <w:r>
        <w:t xml:space="preserve">(x) = </w:t>
      </w:r>
      <w:proofErr w:type="gramStart"/>
      <w:r>
        <w:t>exp(</w:t>
      </w:r>
      <w:proofErr w:type="gramEnd"/>
      <w:r>
        <w:sym w:font="Symbol" w:char="F062"/>
      </w:r>
      <w:r>
        <w:rPr>
          <w:vertAlign w:val="subscript"/>
        </w:rPr>
        <w:t>0</w:t>
      </w:r>
      <w:r>
        <w:t xml:space="preserve"> + </w:t>
      </w:r>
      <w:r>
        <w:sym w:font="Symbol" w:char="F062"/>
      </w:r>
      <w:r>
        <w:rPr>
          <w:vertAlign w:val="subscript"/>
        </w:rPr>
        <w:t>1</w:t>
      </w:r>
      <w:r>
        <w:t>x)</w:t>
      </w:r>
    </w:p>
    <w:p w14:paraId="3F76E262" w14:textId="77777777" w:rsidR="000B41C6" w:rsidRDefault="000B41C6" w:rsidP="004A1440">
      <w:pPr>
        <w:ind w:left="720"/>
      </w:pPr>
    </w:p>
    <w:p w14:paraId="4ED7AFBA" w14:textId="77777777" w:rsidR="000B41C6" w:rsidRDefault="000B41C6" w:rsidP="000B41C6">
      <w:pPr>
        <w:ind w:left="720"/>
      </w:pPr>
      <w:r>
        <w:t>where I am using “</w:t>
      </w:r>
      <w:r>
        <w:sym w:font="Symbol" w:char="F06D"/>
      </w:r>
      <w:r>
        <w:t>(x)” here to emphasize we are evaluating the model as particular numerical value of x. The model evaluated at a c-unit increase in the explanatory variable is</w:t>
      </w:r>
    </w:p>
    <w:p w14:paraId="437D6283" w14:textId="77777777" w:rsidR="000B41C6" w:rsidRDefault="000B41C6" w:rsidP="000B41C6">
      <w:pPr>
        <w:ind w:left="720"/>
      </w:pPr>
    </w:p>
    <w:p w14:paraId="3C3923AA" w14:textId="77777777" w:rsidR="000B41C6" w:rsidRDefault="000B41C6" w:rsidP="000B41C6">
      <w:pPr>
        <w:ind w:left="1440"/>
      </w:pPr>
      <w:r>
        <w:sym w:font="Symbol" w:char="F06D"/>
      </w:r>
      <w:r>
        <w:t>(</w:t>
      </w:r>
      <w:proofErr w:type="spellStart"/>
      <w:r>
        <w:t>x+c</w:t>
      </w:r>
      <w:proofErr w:type="spellEnd"/>
      <w:r>
        <w:t xml:space="preserve">) = </w:t>
      </w:r>
      <w:proofErr w:type="spellStart"/>
      <w:proofErr w:type="gramStart"/>
      <w:r>
        <w:t>exp</w:t>
      </w:r>
      <w:proofErr w:type="spellEnd"/>
      <w:r>
        <w:t>(</w:t>
      </w:r>
      <w:proofErr w:type="gramEnd"/>
      <w:r>
        <w:sym w:font="Symbol" w:char="F062"/>
      </w:r>
      <w:r>
        <w:rPr>
          <w:vertAlign w:val="subscript"/>
        </w:rPr>
        <w:t>0</w:t>
      </w:r>
      <w:r>
        <w:t xml:space="preserve"> + </w:t>
      </w:r>
      <w:r>
        <w:sym w:font="Symbol" w:char="F062"/>
      </w:r>
      <w:r>
        <w:rPr>
          <w:vertAlign w:val="subscript"/>
        </w:rPr>
        <w:t>1</w:t>
      </w:r>
      <w:r>
        <w:t>(x + c))</w:t>
      </w:r>
    </w:p>
    <w:p w14:paraId="771A160F" w14:textId="77777777" w:rsidR="000B41C6" w:rsidRDefault="000B41C6" w:rsidP="000B41C6">
      <w:pPr>
        <w:ind w:left="720"/>
      </w:pPr>
    </w:p>
    <w:p w14:paraId="3ECD2D78" w14:textId="77777777" w:rsidR="000B41C6" w:rsidRDefault="000B41C6" w:rsidP="000B41C6">
      <w:pPr>
        <w:ind w:left="720"/>
      </w:pPr>
      <w:r>
        <w:t>If we examine the ratio of the two cases, we obtain:</w:t>
      </w:r>
    </w:p>
    <w:p w14:paraId="60561D59" w14:textId="77777777" w:rsidR="000B41C6" w:rsidRDefault="000B41C6" w:rsidP="000B41C6">
      <w:pPr>
        <w:ind w:left="720"/>
      </w:pPr>
    </w:p>
    <w:p w14:paraId="62B0C77B" w14:textId="20137B20" w:rsidR="000B41C6" w:rsidRDefault="008C1CD4" w:rsidP="000B41C6">
      <w:pPr>
        <w:ind w:left="1440"/>
      </w:pPr>
      <w:r w:rsidRPr="000B41C6">
        <w:rPr>
          <w:position w:val="-44"/>
        </w:rPr>
        <w:object w:dxaOrig="6940" w:dyaOrig="1060" w14:anchorId="3B107C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2pt;height:52.8pt" o:ole="">
            <v:imagedata r:id="rId8" o:title=""/>
          </v:shape>
          <o:OLEObject Type="Embed" ProgID="Equation.DSMT4" ShapeID="_x0000_i1025" DrawAspect="Content" ObjectID="_1735671935" r:id="rId9"/>
        </w:object>
      </w:r>
    </w:p>
    <w:p w14:paraId="32E1A5F5" w14:textId="77777777" w:rsidR="000B41C6" w:rsidRDefault="000B41C6" w:rsidP="000B41C6">
      <w:pPr>
        <w:ind w:left="1440"/>
      </w:pPr>
    </w:p>
    <w:p w14:paraId="10534F50" w14:textId="77777777" w:rsidR="00C23DD9" w:rsidRDefault="00C23DD9" w:rsidP="00C23DD9">
      <w:pPr>
        <w:ind w:left="720"/>
      </w:pPr>
      <w:r>
        <w:t xml:space="preserve">This leads to a convenient way to interpret the effect of x: </w:t>
      </w:r>
    </w:p>
    <w:p w14:paraId="62AA6325" w14:textId="77777777" w:rsidR="00C23DD9" w:rsidRDefault="00C23DD9" w:rsidP="00C23DD9">
      <w:pPr>
        <w:ind w:left="720"/>
      </w:pPr>
    </w:p>
    <w:p w14:paraId="09842BC1" w14:textId="56D78582" w:rsidR="00C23DD9" w:rsidRDefault="00C23DD9" w:rsidP="00F15C24">
      <w:pPr>
        <w:ind w:left="1440"/>
      </w:pPr>
      <w:r>
        <w:lastRenderedPageBreak/>
        <w:t xml:space="preserve">The percentage change in the mean response that results from a c-unit change in x is </w:t>
      </w:r>
      <w:r w:rsidR="00F15C24">
        <w:t xml:space="preserve">PC = </w:t>
      </w:r>
      <w:r w:rsidR="00C95E2F" w:rsidRPr="00C23DD9">
        <w:rPr>
          <w:position w:val="-14"/>
        </w:rPr>
        <w:object w:dxaOrig="3280" w:dyaOrig="499" w14:anchorId="63E0BB3C">
          <v:shape id="_x0000_i1026" type="#_x0000_t75" style="width:163.2pt;height:24.8pt" o:ole="">
            <v:imagedata r:id="rId10" o:title=""/>
          </v:shape>
          <o:OLEObject Type="Embed" ProgID="Equation.DSMT4" ShapeID="_x0000_i1026" DrawAspect="Content" ObjectID="_1735671936" r:id="rId11"/>
        </w:object>
      </w:r>
    </w:p>
    <w:p w14:paraId="797F102F" w14:textId="4538732F" w:rsidR="009975E4" w:rsidRDefault="009975E4" w:rsidP="00F15C24"/>
    <w:p w14:paraId="21A79BBB" w14:textId="64FDFA9F" w:rsidR="00F15C24" w:rsidRDefault="00F15C24" w:rsidP="00F15C24">
      <w:pPr>
        <w:ind w:left="720"/>
      </w:pPr>
      <w:r>
        <w:t xml:space="preserve">For example, </w:t>
      </w:r>
      <w:proofErr w:type="gramStart"/>
      <w:r>
        <w:t xml:space="preserve">suppose </w:t>
      </w:r>
      <w:proofErr w:type="gramEnd"/>
      <w:r w:rsidR="00C95E2F" w:rsidRPr="00C95E2F">
        <w:rPr>
          <w:position w:val="-14"/>
        </w:rPr>
        <w:object w:dxaOrig="2439" w:dyaOrig="499" w14:anchorId="2BC23789">
          <v:shape id="_x0000_i1027" type="#_x0000_t75" style="width:121.6pt;height:24.8pt" o:ole="">
            <v:imagedata r:id="rId12" o:title=""/>
          </v:shape>
          <o:OLEObject Type="Embed" ProgID="Equation.DSMT4" ShapeID="_x0000_i1027" DrawAspect="Content" ObjectID="_1735671937" r:id="rId13"/>
        </w:object>
      </w:r>
      <w:r>
        <w:t xml:space="preserve">. This leads to PC = 10%. </w:t>
      </w:r>
    </w:p>
    <w:p w14:paraId="5AED1708" w14:textId="77777777" w:rsidR="00F15C24" w:rsidRDefault="00F15C24" w:rsidP="00F15C24">
      <w:pPr>
        <w:ind w:left="720"/>
      </w:pPr>
    </w:p>
    <w:p w14:paraId="1A9CDF1A" w14:textId="77777777" w:rsidR="009975E4" w:rsidRDefault="009975E4" w:rsidP="000B41C6">
      <w:pPr>
        <w:ind w:left="720"/>
      </w:pPr>
      <w:r w:rsidRPr="009975E4">
        <w:rPr>
          <w:u w:val="single"/>
        </w:rPr>
        <w:t>Comments</w:t>
      </w:r>
      <w:r>
        <w:t>:</w:t>
      </w:r>
    </w:p>
    <w:p w14:paraId="0F279E06" w14:textId="77777777" w:rsidR="009975E4" w:rsidRDefault="009975E4" w:rsidP="009975E4">
      <w:pPr>
        <w:pStyle w:val="ListParagraph"/>
        <w:numPr>
          <w:ilvl w:val="0"/>
          <w:numId w:val="36"/>
        </w:numPr>
      </w:pPr>
      <w:r>
        <w:t xml:space="preserve">This interpretation is not dependent on the original value of x! </w:t>
      </w:r>
    </w:p>
    <w:p w14:paraId="7DE5FAC8" w14:textId="77777777" w:rsidR="002D64B1" w:rsidRDefault="002D64B1" w:rsidP="002D64B1">
      <w:pPr>
        <w:pStyle w:val="ListParagraph"/>
        <w:numPr>
          <w:ilvl w:val="0"/>
          <w:numId w:val="36"/>
        </w:numPr>
      </w:pPr>
      <w:r>
        <w:t xml:space="preserve">Choose a value of c appropriate for the data. </w:t>
      </w:r>
    </w:p>
    <w:p w14:paraId="03C48C4A" w14:textId="7214FA7D" w:rsidR="00116607" w:rsidRDefault="009975E4" w:rsidP="009975E4">
      <w:pPr>
        <w:pStyle w:val="ListParagraph"/>
        <w:numPr>
          <w:ilvl w:val="0"/>
          <w:numId w:val="36"/>
        </w:numPr>
      </w:pPr>
      <w:r>
        <w:t xml:space="preserve">The estimate of </w:t>
      </w:r>
      <w:r w:rsidR="00E812B4" w:rsidRPr="009975E4">
        <w:rPr>
          <w:position w:val="-14"/>
        </w:rPr>
        <w:object w:dxaOrig="4239" w:dyaOrig="499" w14:anchorId="536509C7">
          <v:shape id="_x0000_i1035" type="#_x0000_t75" style="width:212pt;height:25.6pt" o:ole="">
            <v:imagedata r:id="rId14" o:title=""/>
          </v:shape>
          <o:OLEObject Type="Embed" ProgID="Equation.DSMT4" ShapeID="_x0000_i1035" DrawAspect="Content" ObjectID="_1735671938" r:id="rId15"/>
        </w:object>
      </w:r>
      <w:r>
        <w:t xml:space="preserve"> is</w:t>
      </w:r>
    </w:p>
    <w:p w14:paraId="2A188B16" w14:textId="77777777" w:rsidR="00116607" w:rsidRDefault="00116607" w:rsidP="00116607">
      <w:pPr>
        <w:pStyle w:val="ListParagraph"/>
        <w:ind w:left="1080"/>
      </w:pPr>
    </w:p>
    <w:p w14:paraId="7AD2CA1B" w14:textId="65DDD200" w:rsidR="009975E4" w:rsidRDefault="00116607" w:rsidP="00116607">
      <w:pPr>
        <w:pStyle w:val="ListParagraph"/>
        <w:ind w:left="1440"/>
      </w:pPr>
      <w:r w:rsidRPr="009975E4">
        <w:rPr>
          <w:position w:val="-14"/>
        </w:rPr>
        <w:object w:dxaOrig="3900" w:dyaOrig="600" w14:anchorId="6634E9CA">
          <v:shape id="_x0000_i1029" type="#_x0000_t75" style="width:195.2pt;height:30.4pt" o:ole="">
            <v:imagedata r:id="rId16" o:title=""/>
          </v:shape>
          <o:OLEObject Type="Embed" ProgID="Equation.DSMT4" ShapeID="_x0000_i1029" DrawAspect="Content" ObjectID="_1735671939" r:id="rId17"/>
        </w:object>
      </w:r>
      <w:r w:rsidR="00CD7342">
        <w:t>%</w:t>
      </w:r>
      <w:r w:rsidR="009975E4">
        <w:t xml:space="preserve"> </w:t>
      </w:r>
    </w:p>
    <w:p w14:paraId="365F7B02" w14:textId="77777777" w:rsidR="00116607" w:rsidRDefault="00116607" w:rsidP="00116607">
      <w:pPr>
        <w:pStyle w:val="ListParagraph"/>
        <w:ind w:left="1080"/>
      </w:pPr>
    </w:p>
    <w:p w14:paraId="03A06CF7" w14:textId="6A6B6DC8" w:rsidR="00330214" w:rsidRDefault="00330214" w:rsidP="009975E4">
      <w:pPr>
        <w:pStyle w:val="ListParagraph"/>
        <w:numPr>
          <w:ilvl w:val="0"/>
          <w:numId w:val="36"/>
        </w:numPr>
      </w:pPr>
      <w:r>
        <w:t>Wald and LR confidence intervals can be found using the usual methods</w:t>
      </w:r>
    </w:p>
    <w:p w14:paraId="3C80FCA6" w14:textId="77777777" w:rsidR="009975E4" w:rsidRDefault="002F7ABF" w:rsidP="009975E4">
      <w:pPr>
        <w:pStyle w:val="ListParagraph"/>
        <w:numPr>
          <w:ilvl w:val="0"/>
          <w:numId w:val="36"/>
        </w:numPr>
      </w:pPr>
      <w:r>
        <w:t xml:space="preserve">If there is more than one explanatory variable in the model, the same result holds (make sure you can show it). You also need to add “holding the other </w:t>
      </w:r>
      <w:r w:rsidR="00666791">
        <w:t>variables in the model constant</w:t>
      </w:r>
      <w:r w:rsidR="004845E9">
        <w:t>”</w:t>
      </w:r>
      <w:r w:rsidR="00666791">
        <w:t xml:space="preserve"> to the interpretation. </w:t>
      </w:r>
      <w:r>
        <w:t xml:space="preserve"> </w:t>
      </w:r>
    </w:p>
    <w:p w14:paraId="3B6939A2" w14:textId="251E6BD4" w:rsidR="002F7ABF" w:rsidRDefault="002F7ABF" w:rsidP="009975E4">
      <w:pPr>
        <w:pStyle w:val="ListParagraph"/>
        <w:numPr>
          <w:ilvl w:val="0"/>
          <w:numId w:val="36"/>
        </w:numPr>
      </w:pPr>
      <w:r>
        <w:t xml:space="preserve">If there are interactions or transformations of explanatory variables or categorical explanatory variables, similar types of adjustments need to be made as in </w:t>
      </w:r>
      <w:r w:rsidR="00935CDB">
        <w:t xml:space="preserve">the past </w:t>
      </w:r>
      <w:r>
        <w:t>for odds ratios.</w:t>
      </w:r>
      <w:r w:rsidR="00F15C24">
        <w:t xml:space="preserve"> </w:t>
      </w:r>
    </w:p>
    <w:p w14:paraId="1B1B63A2" w14:textId="77777777" w:rsidR="00935CDB" w:rsidRDefault="00935CDB" w:rsidP="00935CDB">
      <w:pPr>
        <w:pStyle w:val="ListParagraph"/>
        <w:ind w:left="1080"/>
      </w:pPr>
    </w:p>
    <w:p w14:paraId="52F1DD2F" w14:textId="77777777" w:rsidR="001827DE" w:rsidRDefault="001827DE" w:rsidP="001827DE">
      <w:pPr>
        <w:rPr>
          <w:u w:val="single"/>
        </w:rPr>
      </w:pPr>
    </w:p>
    <w:p w14:paraId="23BF3076" w14:textId="7122D053" w:rsidR="001827DE" w:rsidRDefault="001827DE" w:rsidP="001827DE">
      <w:r w:rsidRPr="00586B20">
        <w:rPr>
          <w:u w:val="single"/>
        </w:rPr>
        <w:lastRenderedPageBreak/>
        <w:t>Example</w:t>
      </w:r>
      <w:r>
        <w:t>: H</w:t>
      </w:r>
      <w:r w:rsidR="00C410FF">
        <w:t>orseshoe crabs and satellites (</w:t>
      </w:r>
      <w:proofErr w:type="spellStart"/>
      <w:r w:rsidR="00C410FF">
        <w:t>Horseshoe.R</w:t>
      </w:r>
      <w:proofErr w:type="spellEnd"/>
      <w:r w:rsidR="00C410FF">
        <w:t>, H</w:t>
      </w:r>
      <w:r>
        <w:t>orseshoe.</w:t>
      </w:r>
      <w:r w:rsidR="00C95E2F">
        <w:t>csv</w:t>
      </w:r>
      <w:r>
        <w:t>)</w:t>
      </w:r>
    </w:p>
    <w:p w14:paraId="78B2F748" w14:textId="77777777" w:rsidR="001827DE" w:rsidRDefault="001827DE" w:rsidP="001827DE"/>
    <w:p w14:paraId="04C56BE3" w14:textId="77777777" w:rsidR="002D64B1" w:rsidRDefault="002D64B1" w:rsidP="002D64B1">
      <w:pPr>
        <w:ind w:left="576"/>
      </w:pPr>
      <w:r>
        <w:t>A c = 1 cm increase in width results in:</w:t>
      </w:r>
    </w:p>
    <w:p w14:paraId="24C89824" w14:textId="77777777" w:rsidR="002D64B1" w:rsidRDefault="002D64B1" w:rsidP="002D64B1">
      <w:pPr>
        <w:ind w:left="576"/>
      </w:pPr>
    </w:p>
    <w:p w14:paraId="3E816B27" w14:textId="77777777" w:rsidR="002D64B1" w:rsidRDefault="002D64B1" w:rsidP="00935CDB">
      <w:pPr>
        <w:pStyle w:val="R-14"/>
      </w:pPr>
      <w:r>
        <w:t xml:space="preserve">&gt; </w:t>
      </w:r>
      <w:proofErr w:type="spellStart"/>
      <w:proofErr w:type="gramStart"/>
      <w:r>
        <w:t>exp</w:t>
      </w:r>
      <w:proofErr w:type="spellEnd"/>
      <w:r>
        <w:t>(</w:t>
      </w:r>
      <w:proofErr w:type="spellStart"/>
      <w:proofErr w:type="gramEnd"/>
      <w:r>
        <w:t>mod.fit$coefficients</w:t>
      </w:r>
      <w:proofErr w:type="spellEnd"/>
      <w:r>
        <w:t>[2])</w:t>
      </w:r>
    </w:p>
    <w:p w14:paraId="05F89B5A" w14:textId="77777777" w:rsidR="002D64B1" w:rsidRDefault="002D64B1" w:rsidP="00935CDB">
      <w:pPr>
        <w:pStyle w:val="R-14"/>
      </w:pPr>
      <w:r>
        <w:t xml:space="preserve">   width </w:t>
      </w:r>
    </w:p>
    <w:p w14:paraId="2D6C798E" w14:textId="77777777" w:rsidR="002D64B1" w:rsidRDefault="002D64B1" w:rsidP="00935CDB">
      <w:pPr>
        <w:pStyle w:val="R-14"/>
      </w:pPr>
      <w:r>
        <w:t xml:space="preserve">1.178267 </w:t>
      </w:r>
    </w:p>
    <w:p w14:paraId="357FF65B" w14:textId="77777777" w:rsidR="002D64B1" w:rsidRDefault="002D64B1" w:rsidP="00935CDB">
      <w:pPr>
        <w:pStyle w:val="R-14"/>
      </w:pPr>
      <w:r>
        <w:t>&gt; 100*(</w:t>
      </w:r>
      <w:proofErr w:type="spellStart"/>
      <w:proofErr w:type="gramStart"/>
      <w:r>
        <w:t>exp</w:t>
      </w:r>
      <w:proofErr w:type="spellEnd"/>
      <w:r>
        <w:t>(</w:t>
      </w:r>
      <w:proofErr w:type="spellStart"/>
      <w:proofErr w:type="gramEnd"/>
      <w:r>
        <w:t>mod.fit$coefficients</w:t>
      </w:r>
      <w:proofErr w:type="spellEnd"/>
      <w:r>
        <w:t>[2]) - 1)</w:t>
      </w:r>
    </w:p>
    <w:p w14:paraId="091ADCA0" w14:textId="77777777" w:rsidR="002D64B1" w:rsidRDefault="002D64B1" w:rsidP="00935CDB">
      <w:pPr>
        <w:pStyle w:val="R-14"/>
      </w:pPr>
      <w:r>
        <w:t xml:space="preserve">   width </w:t>
      </w:r>
    </w:p>
    <w:p w14:paraId="668E9840" w14:textId="77777777" w:rsidR="002D64B1" w:rsidRDefault="002D64B1" w:rsidP="00935CDB">
      <w:pPr>
        <w:pStyle w:val="R-14"/>
      </w:pPr>
      <w:r>
        <w:t xml:space="preserve">17.82674 </w:t>
      </w:r>
    </w:p>
    <w:p w14:paraId="0773BCF3" w14:textId="77777777" w:rsidR="00C65C96" w:rsidRDefault="00C65C96" w:rsidP="002D64B1">
      <w:pPr>
        <w:pStyle w:val="R"/>
      </w:pPr>
    </w:p>
    <w:p w14:paraId="74094250" w14:textId="54EACDD0" w:rsidR="005F7F0D" w:rsidRDefault="005F7F0D" w:rsidP="00935CDB">
      <w:pPr>
        <w:ind w:left="720"/>
      </w:pPr>
      <w:r w:rsidRPr="005F7F0D">
        <w:t xml:space="preserve">The percentage change in the </w:t>
      </w:r>
      <w:r>
        <w:t xml:space="preserve">estimated </w:t>
      </w:r>
      <w:r w:rsidRPr="005F7F0D">
        <w:t xml:space="preserve">mean </w:t>
      </w:r>
      <w:r>
        <w:t>number of satellites</w:t>
      </w:r>
      <w:r w:rsidRPr="005F7F0D">
        <w:t xml:space="preserve"> that results from a </w:t>
      </w:r>
      <w:r>
        <w:t xml:space="preserve">1-unit change in width is 17.83%. </w:t>
      </w:r>
      <w:r w:rsidRPr="005F7F0D">
        <w:t xml:space="preserve">  </w:t>
      </w:r>
    </w:p>
    <w:p w14:paraId="018CBAE2" w14:textId="77777777" w:rsidR="005F7F0D" w:rsidRDefault="005F7F0D" w:rsidP="00935CDB">
      <w:pPr>
        <w:ind w:left="720"/>
      </w:pPr>
    </w:p>
    <w:p w14:paraId="337D86EF" w14:textId="77777777" w:rsidR="0039081E" w:rsidRDefault="0039081E" w:rsidP="00935CDB">
      <w:pPr>
        <w:ind w:left="720"/>
      </w:pPr>
      <w:r>
        <w:t>To help emphasize the type of change, we could phrase our interpretation as:</w:t>
      </w:r>
    </w:p>
    <w:p w14:paraId="71AE4BFF" w14:textId="44F1969D" w:rsidR="0039081E" w:rsidRDefault="00935CDB" w:rsidP="0039081E">
      <w:pPr>
        <w:pStyle w:val="ListParagraph"/>
        <w:numPr>
          <w:ilvl w:val="0"/>
          <w:numId w:val="37"/>
        </w:numPr>
      </w:pPr>
      <w:r>
        <w:t>A 1-</w:t>
      </w:r>
      <w:r w:rsidR="0039081E">
        <w:t xml:space="preserve">unit INCREASE in width leads to an estimated 17.83% INCREASE in the </w:t>
      </w:r>
      <w:r w:rsidR="00DE1C6C">
        <w:t xml:space="preserve">mean </w:t>
      </w:r>
      <w:r w:rsidR="0039081E">
        <w:t xml:space="preserve">number of satellites. </w:t>
      </w:r>
    </w:p>
    <w:p w14:paraId="46A67949" w14:textId="77777777" w:rsidR="00C65C96" w:rsidRDefault="00C65C96" w:rsidP="0039081E">
      <w:pPr>
        <w:pStyle w:val="ListParagraph"/>
        <w:numPr>
          <w:ilvl w:val="0"/>
          <w:numId w:val="37"/>
        </w:numPr>
      </w:pPr>
      <w:r>
        <w:t xml:space="preserve">The </w:t>
      </w:r>
      <w:r w:rsidR="00DE1C6C">
        <w:t xml:space="preserve">mean </w:t>
      </w:r>
      <w:r>
        <w:t xml:space="preserve">number of satellites is </w:t>
      </w:r>
      <w:r w:rsidR="004845E9">
        <w:t xml:space="preserve">estimated </w:t>
      </w:r>
      <w:r>
        <w:t xml:space="preserve">to increase by 17.83% for every </w:t>
      </w:r>
      <w:r w:rsidR="004845E9">
        <w:t>1</w:t>
      </w:r>
      <w:r>
        <w:t xml:space="preserve"> cm increase in the width of the shell. </w:t>
      </w:r>
    </w:p>
    <w:p w14:paraId="7B87C4E6" w14:textId="77777777" w:rsidR="00C65C96" w:rsidRDefault="00C65C96" w:rsidP="00C65C96">
      <w:pPr>
        <w:ind w:left="576"/>
      </w:pPr>
    </w:p>
    <w:p w14:paraId="2299B487" w14:textId="77777777" w:rsidR="00C65C96" w:rsidRDefault="00C65C96" w:rsidP="00935CDB">
      <w:pPr>
        <w:ind w:left="720"/>
      </w:pPr>
      <w:r>
        <w:t xml:space="preserve">Is c = 1 appropriate? </w:t>
      </w:r>
      <w:r w:rsidR="00CB35E2">
        <w:t>This is difficult to answer without knowing more about the crabs</w:t>
      </w:r>
      <w:r>
        <w:t>. When there is not an obvious choice</w:t>
      </w:r>
      <w:r w:rsidR="00CB35E2">
        <w:t xml:space="preserve"> for c</w:t>
      </w:r>
      <w:r>
        <w:t xml:space="preserve">, you can </w:t>
      </w:r>
      <w:r w:rsidR="00101852">
        <w:t>resort</w:t>
      </w:r>
      <w:r>
        <w:t xml:space="preserve"> to using one standard deviation:</w:t>
      </w:r>
    </w:p>
    <w:p w14:paraId="7DAF5404" w14:textId="77777777" w:rsidR="002D64B1" w:rsidRDefault="002D64B1" w:rsidP="002D64B1">
      <w:pPr>
        <w:pStyle w:val="R"/>
      </w:pPr>
      <w:r>
        <w:t xml:space="preserve"> </w:t>
      </w:r>
    </w:p>
    <w:p w14:paraId="4A370767" w14:textId="2E7BFD79" w:rsidR="002D64B1" w:rsidRDefault="002D64B1" w:rsidP="00935CDB">
      <w:pPr>
        <w:pStyle w:val="R-14"/>
      </w:pPr>
      <w:r>
        <w:t xml:space="preserve">&gt; </w:t>
      </w:r>
      <w:proofErr w:type="spellStart"/>
      <w:r>
        <w:t>c.unit</w:t>
      </w:r>
      <w:proofErr w:type="spellEnd"/>
      <w:r w:rsidR="00BA68E3">
        <w:t xml:space="preserve"> </w:t>
      </w:r>
      <w:r>
        <w:t>&lt;-</w:t>
      </w:r>
      <w:r w:rsidR="00BA68E3">
        <w:t xml:space="preserve"> </w:t>
      </w:r>
      <w:proofErr w:type="spellStart"/>
      <w:proofErr w:type="gramStart"/>
      <w:r>
        <w:t>sd</w:t>
      </w:r>
      <w:proofErr w:type="spellEnd"/>
      <w:r>
        <w:t>(</w:t>
      </w:r>
      <w:proofErr w:type="spellStart"/>
      <w:proofErr w:type="gramEnd"/>
      <w:r>
        <w:t>crab$width</w:t>
      </w:r>
      <w:proofErr w:type="spellEnd"/>
      <w:r>
        <w:t>)</w:t>
      </w:r>
    </w:p>
    <w:p w14:paraId="3C23CE43" w14:textId="77777777" w:rsidR="002D64B1" w:rsidRDefault="002D64B1" w:rsidP="00935CDB">
      <w:pPr>
        <w:pStyle w:val="R-14"/>
      </w:pPr>
      <w:r>
        <w:t xml:space="preserve">&gt; </w:t>
      </w:r>
      <w:proofErr w:type="spellStart"/>
      <w:r>
        <w:t>c.unit</w:t>
      </w:r>
      <w:proofErr w:type="spellEnd"/>
    </w:p>
    <w:p w14:paraId="44ACC3FF" w14:textId="77777777" w:rsidR="002D64B1" w:rsidRDefault="002D64B1" w:rsidP="00935CDB">
      <w:pPr>
        <w:pStyle w:val="R-14"/>
      </w:pPr>
      <w:r>
        <w:t>[1] 2.109061</w:t>
      </w:r>
    </w:p>
    <w:p w14:paraId="32E7D771" w14:textId="77777777" w:rsidR="002D64B1" w:rsidRDefault="002D64B1" w:rsidP="00935CDB">
      <w:pPr>
        <w:pStyle w:val="R-14"/>
      </w:pPr>
      <w:r>
        <w:t>&gt; 100*</w:t>
      </w:r>
      <w:proofErr w:type="spellStart"/>
      <w:proofErr w:type="gramStart"/>
      <w:r>
        <w:t>exp</w:t>
      </w:r>
      <w:proofErr w:type="spellEnd"/>
      <w:r>
        <w:t>(</w:t>
      </w:r>
      <w:proofErr w:type="spellStart"/>
      <w:proofErr w:type="gramEnd"/>
      <w:r>
        <w:t>c.unit</w:t>
      </w:r>
      <w:proofErr w:type="spellEnd"/>
      <w:r>
        <w:t>*</w:t>
      </w:r>
      <w:proofErr w:type="spellStart"/>
      <w:r>
        <w:t>mod.fit$coefficients</w:t>
      </w:r>
      <w:proofErr w:type="spellEnd"/>
      <w:r>
        <w:t>[2]) - 1</w:t>
      </w:r>
    </w:p>
    <w:p w14:paraId="0340E0AC" w14:textId="77777777" w:rsidR="002D64B1" w:rsidRDefault="002D64B1" w:rsidP="00935CDB">
      <w:pPr>
        <w:pStyle w:val="R-14"/>
      </w:pPr>
      <w:r>
        <w:lastRenderedPageBreak/>
        <w:t xml:space="preserve">   width </w:t>
      </w:r>
    </w:p>
    <w:p w14:paraId="6AF7D90F" w14:textId="57A7C981" w:rsidR="001827DE" w:rsidRDefault="00F15C24" w:rsidP="00935CDB">
      <w:pPr>
        <w:pStyle w:val="R-14"/>
      </w:pPr>
      <w:r w:rsidRPr="00F15C24">
        <w:t>41.33759</w:t>
      </w:r>
    </w:p>
    <w:p w14:paraId="414F0598" w14:textId="77777777" w:rsidR="00C65C96" w:rsidRDefault="00C65C96" w:rsidP="00935CDB">
      <w:pPr>
        <w:pStyle w:val="R-14"/>
      </w:pPr>
    </w:p>
    <w:p w14:paraId="0F966D6A" w14:textId="6A3ADF1B" w:rsidR="00C65C96" w:rsidRDefault="00D166F3" w:rsidP="00935CDB">
      <w:pPr>
        <w:ind w:left="720"/>
      </w:pPr>
      <w:r>
        <w:t xml:space="preserve">A 2.11 cm increase in width leads to an estimated </w:t>
      </w:r>
      <w:r w:rsidR="00F15C24">
        <w:t>41</w:t>
      </w:r>
      <w:r w:rsidR="00C65C96">
        <w:t xml:space="preserve">.34% </w:t>
      </w:r>
      <w:r>
        <w:t xml:space="preserve">increase in the mean number of </w:t>
      </w:r>
      <w:r w:rsidR="00EC2EE0">
        <w:t>satellites</w:t>
      </w:r>
      <w:r w:rsidR="00C65C96">
        <w:t xml:space="preserve">. </w:t>
      </w:r>
    </w:p>
    <w:p w14:paraId="18F04324" w14:textId="77777777" w:rsidR="001827DE" w:rsidRDefault="001827DE" w:rsidP="001827DE">
      <w:pPr>
        <w:ind w:left="576"/>
      </w:pPr>
    </w:p>
    <w:p w14:paraId="19B1590A" w14:textId="77777777" w:rsidR="00D86DF6" w:rsidRDefault="00D86DF6" w:rsidP="00935CDB">
      <w:pPr>
        <w:ind w:left="720"/>
      </w:pPr>
      <w:r>
        <w:t>Profile LR confidence interval with c = 1:</w:t>
      </w:r>
    </w:p>
    <w:p w14:paraId="43B19F7C" w14:textId="77777777" w:rsidR="00D86DF6" w:rsidRDefault="00D86DF6" w:rsidP="00935CDB">
      <w:pPr>
        <w:pStyle w:val="R-14"/>
      </w:pPr>
    </w:p>
    <w:p w14:paraId="1040437F" w14:textId="77777777" w:rsidR="00D86DF6" w:rsidRDefault="00D86DF6" w:rsidP="00935CDB">
      <w:pPr>
        <w:pStyle w:val="R-14"/>
      </w:pPr>
      <w:r>
        <w:t>&gt; #Profile likelihood interval</w:t>
      </w:r>
    </w:p>
    <w:p w14:paraId="5F108369" w14:textId="38645AC8" w:rsidR="00D86DF6" w:rsidRDefault="00D86DF6" w:rsidP="005F7F0D">
      <w:pPr>
        <w:pStyle w:val="R-14"/>
      </w:pPr>
      <w:r>
        <w:t>&gt; beta.ci</w:t>
      </w:r>
      <w:r w:rsidR="00BA68E3">
        <w:t xml:space="preserve"> </w:t>
      </w:r>
      <w:r>
        <w:t>&lt;-</w:t>
      </w:r>
      <w:r w:rsidR="00BA68E3">
        <w:t xml:space="preserve"> </w:t>
      </w:r>
      <w:proofErr w:type="spellStart"/>
      <w:proofErr w:type="gramStart"/>
      <w:r>
        <w:t>confint</w:t>
      </w:r>
      <w:proofErr w:type="spellEnd"/>
      <w:r>
        <w:t>(</w:t>
      </w:r>
      <w:proofErr w:type="gramEnd"/>
      <w:r>
        <w:t xml:space="preserve">object = </w:t>
      </w:r>
      <w:proofErr w:type="spellStart"/>
      <w:r>
        <w:t>mod.fit</w:t>
      </w:r>
      <w:proofErr w:type="spellEnd"/>
      <w:r>
        <w:t xml:space="preserve">, </w:t>
      </w:r>
      <w:proofErr w:type="spellStart"/>
      <w:r>
        <w:t>parm</w:t>
      </w:r>
      <w:proofErr w:type="spellEnd"/>
      <w:r>
        <w:t xml:space="preserve"> = "width", level = 0.95)</w:t>
      </w:r>
    </w:p>
    <w:p w14:paraId="178E2CB0" w14:textId="77777777" w:rsidR="00D86DF6" w:rsidRDefault="00D86DF6" w:rsidP="00935CDB">
      <w:pPr>
        <w:pStyle w:val="R-14"/>
      </w:pPr>
      <w:r>
        <w:t>Waiting for profiling to be done...</w:t>
      </w:r>
    </w:p>
    <w:p w14:paraId="445511BC" w14:textId="77777777" w:rsidR="00D86DF6" w:rsidRDefault="00D86DF6" w:rsidP="00935CDB">
      <w:pPr>
        <w:pStyle w:val="R-14"/>
      </w:pPr>
      <w:r>
        <w:t>&gt; 100*(exp(beta.ci) - 1)</w:t>
      </w:r>
    </w:p>
    <w:p w14:paraId="0E96432D" w14:textId="77777777" w:rsidR="00D86DF6" w:rsidRDefault="00D86DF6" w:rsidP="00935CDB">
      <w:pPr>
        <w:pStyle w:val="R-14"/>
      </w:pPr>
      <w:r>
        <w:t xml:space="preserve">   2.5 %   97.5 % </w:t>
      </w:r>
    </w:p>
    <w:p w14:paraId="359BBBB6" w14:textId="77777777" w:rsidR="00D86DF6" w:rsidRDefault="00D86DF6" w:rsidP="00935CDB">
      <w:pPr>
        <w:pStyle w:val="R-14"/>
      </w:pPr>
      <w:r>
        <w:t>13.28362 22.50566</w:t>
      </w:r>
    </w:p>
    <w:p w14:paraId="327D0EF5" w14:textId="77777777" w:rsidR="00D86DF6" w:rsidRDefault="00D86DF6" w:rsidP="00935CDB">
      <w:pPr>
        <w:pStyle w:val="R-14"/>
      </w:pPr>
    </w:p>
    <w:p w14:paraId="02B39EAE" w14:textId="77777777" w:rsidR="00D86DF6" w:rsidRDefault="00D86DF6" w:rsidP="00935CDB">
      <w:pPr>
        <w:pStyle w:val="R-14"/>
      </w:pPr>
      <w:r>
        <w:t xml:space="preserve">&gt; #Profile LR interval using </w:t>
      </w:r>
      <w:proofErr w:type="spellStart"/>
      <w:r>
        <w:t>mcprofile</w:t>
      </w:r>
      <w:proofErr w:type="spellEnd"/>
    </w:p>
    <w:p w14:paraId="3FDB2C3D" w14:textId="77777777" w:rsidR="00D86DF6" w:rsidRDefault="00D86DF6" w:rsidP="00935CDB">
      <w:pPr>
        <w:pStyle w:val="R-14"/>
      </w:pPr>
      <w:r>
        <w:t xml:space="preserve">&gt; </w:t>
      </w:r>
      <w:proofErr w:type="gramStart"/>
      <w:r>
        <w:t>library(</w:t>
      </w:r>
      <w:proofErr w:type="gramEnd"/>
      <w:r>
        <w:t xml:space="preserve">package = </w:t>
      </w:r>
      <w:proofErr w:type="spellStart"/>
      <w:r>
        <w:t>mcprofile</w:t>
      </w:r>
      <w:proofErr w:type="spellEnd"/>
      <w:r>
        <w:t>)</w:t>
      </w:r>
    </w:p>
    <w:p w14:paraId="563CEE63" w14:textId="65C6B9CD" w:rsidR="00D86DF6" w:rsidRDefault="00D86DF6" w:rsidP="00935CDB">
      <w:pPr>
        <w:pStyle w:val="R-14"/>
      </w:pPr>
      <w:r>
        <w:t>&gt; K</w:t>
      </w:r>
      <w:r w:rsidR="00BA68E3">
        <w:t xml:space="preserve"> </w:t>
      </w:r>
      <w:r>
        <w:t>&lt;-</w:t>
      </w:r>
      <w:r w:rsidR="00BA68E3">
        <w:t xml:space="preserve"> </w:t>
      </w:r>
      <w:proofErr w:type="gramStart"/>
      <w:r>
        <w:t>matrix(</w:t>
      </w:r>
      <w:proofErr w:type="gramEnd"/>
      <w:r>
        <w:t xml:space="preserve">data = c(0, 1), </w:t>
      </w:r>
      <w:proofErr w:type="spellStart"/>
      <w:r>
        <w:t>nrow</w:t>
      </w:r>
      <w:proofErr w:type="spellEnd"/>
      <w:r>
        <w:t xml:space="preserve"> = 1, </w:t>
      </w:r>
      <w:proofErr w:type="spellStart"/>
      <w:r>
        <w:t>ncol</w:t>
      </w:r>
      <w:proofErr w:type="spellEnd"/>
      <w:r>
        <w:t xml:space="preserve"> = 2)</w:t>
      </w:r>
    </w:p>
    <w:p w14:paraId="7A922EB8" w14:textId="77777777" w:rsidR="00D86DF6" w:rsidRDefault="00D86DF6" w:rsidP="00935CDB">
      <w:pPr>
        <w:pStyle w:val="R-14"/>
      </w:pPr>
      <w:r>
        <w:t>&gt; #Calculate -</w:t>
      </w:r>
      <w:proofErr w:type="gramStart"/>
      <w:r>
        <w:t>2log(</w:t>
      </w:r>
      <w:proofErr w:type="gramEnd"/>
      <w:r>
        <w:t>Lambda)</w:t>
      </w:r>
    </w:p>
    <w:p w14:paraId="5517321E" w14:textId="0972055F" w:rsidR="00D86DF6" w:rsidRDefault="00D86DF6" w:rsidP="00935CDB">
      <w:pPr>
        <w:pStyle w:val="R-14"/>
      </w:pPr>
      <w:r>
        <w:t xml:space="preserve">&gt; </w:t>
      </w:r>
      <w:proofErr w:type="spellStart"/>
      <w:r>
        <w:t>linear.combo</w:t>
      </w:r>
      <w:proofErr w:type="spellEnd"/>
      <w:r w:rsidR="00BA68E3">
        <w:t xml:space="preserve"> </w:t>
      </w:r>
      <w:r>
        <w:t>&lt;-</w:t>
      </w:r>
      <w:r w:rsidR="00BA68E3">
        <w:t xml:space="preserve"> </w:t>
      </w:r>
      <w:proofErr w:type="spellStart"/>
      <w:proofErr w:type="gramStart"/>
      <w:r>
        <w:t>mcprofile</w:t>
      </w:r>
      <w:proofErr w:type="spellEnd"/>
      <w:r>
        <w:t>(</w:t>
      </w:r>
      <w:proofErr w:type="gramEnd"/>
      <w:r>
        <w:t xml:space="preserve">object = </w:t>
      </w:r>
      <w:proofErr w:type="spellStart"/>
      <w:r>
        <w:t>mod.fit</w:t>
      </w:r>
      <w:proofErr w:type="spellEnd"/>
      <w:r>
        <w:t xml:space="preserve">, CM = K)  </w:t>
      </w:r>
    </w:p>
    <w:p w14:paraId="75EA8AAD" w14:textId="0FC54C70" w:rsidR="00D86DF6" w:rsidRDefault="00D86DF6" w:rsidP="00935CDB">
      <w:pPr>
        <w:pStyle w:val="R-14"/>
      </w:pPr>
      <w:r>
        <w:t xml:space="preserve">&gt; </w:t>
      </w:r>
      <w:proofErr w:type="spellStart"/>
      <w:r>
        <w:t>ci.beta</w:t>
      </w:r>
      <w:proofErr w:type="spellEnd"/>
      <w:r w:rsidR="00BA68E3">
        <w:t xml:space="preserve"> </w:t>
      </w:r>
      <w:r>
        <w:t>&lt;-</w:t>
      </w:r>
      <w:r w:rsidR="00BA68E3">
        <w:t xml:space="preserve"> </w:t>
      </w:r>
      <w:proofErr w:type="spellStart"/>
      <w:proofErr w:type="gramStart"/>
      <w:r>
        <w:t>confint</w:t>
      </w:r>
      <w:proofErr w:type="spellEnd"/>
      <w:r>
        <w:t>(</w:t>
      </w:r>
      <w:proofErr w:type="gramEnd"/>
      <w:r>
        <w:t xml:space="preserve">object = </w:t>
      </w:r>
      <w:proofErr w:type="spellStart"/>
      <w:r>
        <w:t>linear.combo</w:t>
      </w:r>
      <w:proofErr w:type="spellEnd"/>
      <w:r>
        <w:t xml:space="preserve">, level = 0.95) </w:t>
      </w:r>
    </w:p>
    <w:p w14:paraId="41D710A0" w14:textId="77777777" w:rsidR="00D86DF6" w:rsidRDefault="00D86DF6" w:rsidP="00935CDB">
      <w:pPr>
        <w:pStyle w:val="R-14"/>
      </w:pPr>
      <w:r>
        <w:t>&gt; 100*(</w:t>
      </w:r>
      <w:proofErr w:type="spellStart"/>
      <w:proofErr w:type="gramStart"/>
      <w:r>
        <w:t>exp</w:t>
      </w:r>
      <w:proofErr w:type="spellEnd"/>
      <w:r>
        <w:t>(</w:t>
      </w:r>
      <w:proofErr w:type="spellStart"/>
      <w:proofErr w:type="gramEnd"/>
      <w:r>
        <w:t>ci.beta$confint</w:t>
      </w:r>
      <w:proofErr w:type="spellEnd"/>
      <w:r>
        <w:t>) - 1)</w:t>
      </w:r>
    </w:p>
    <w:p w14:paraId="72A594AD" w14:textId="77777777" w:rsidR="00D86DF6" w:rsidRDefault="00D86DF6" w:rsidP="00935CDB">
      <w:pPr>
        <w:pStyle w:val="R-14"/>
      </w:pPr>
      <w:r>
        <w:t xml:space="preserve">      lower    upper</w:t>
      </w:r>
    </w:p>
    <w:p w14:paraId="5545A6C9" w14:textId="77777777" w:rsidR="00D86DF6" w:rsidRDefault="00D86DF6" w:rsidP="00935CDB">
      <w:pPr>
        <w:pStyle w:val="R-14"/>
      </w:pPr>
      <w:r>
        <w:t>C1 13.28365 22.50525</w:t>
      </w:r>
    </w:p>
    <w:p w14:paraId="6C1C4342" w14:textId="77777777" w:rsidR="00D86DF6" w:rsidRDefault="00D86DF6" w:rsidP="00D86DF6">
      <w:pPr>
        <w:ind w:left="576"/>
      </w:pPr>
    </w:p>
    <w:p w14:paraId="232133E8" w14:textId="095B8769" w:rsidR="00D86DF6" w:rsidRDefault="00D86DF6" w:rsidP="00935CDB">
      <w:pPr>
        <w:ind w:left="720"/>
      </w:pPr>
      <w:r>
        <w:t>With 95% confidence, a</w:t>
      </w:r>
      <w:r w:rsidRPr="000215E1">
        <w:t xml:space="preserve"> 1</w:t>
      </w:r>
      <w:r w:rsidR="00191D77">
        <w:t>-</w:t>
      </w:r>
      <w:r w:rsidRPr="000215E1">
        <w:t>uni</w:t>
      </w:r>
      <w:bookmarkStart w:id="0" w:name="_GoBack"/>
      <w:bookmarkEnd w:id="0"/>
      <w:r w:rsidRPr="000215E1">
        <w:t>t INCREAS</w:t>
      </w:r>
      <w:r>
        <w:t>E in width leads to a 13.3% to 22.5</w:t>
      </w:r>
      <w:r w:rsidRPr="000215E1">
        <w:t>% INCREASE in the mean number of satellites.</w:t>
      </w:r>
    </w:p>
    <w:p w14:paraId="4BD11E60" w14:textId="77777777" w:rsidR="00D86DF6" w:rsidRDefault="00D86DF6" w:rsidP="00DD27CE">
      <w:pPr>
        <w:ind w:left="576"/>
      </w:pPr>
    </w:p>
    <w:p w14:paraId="7E4C1A4D" w14:textId="77777777" w:rsidR="00EC2EE0" w:rsidRDefault="000215E1" w:rsidP="00935CDB">
      <w:pPr>
        <w:ind w:left="720"/>
      </w:pPr>
      <w:r>
        <w:t xml:space="preserve">Wald confidence interval with c = 1: </w:t>
      </w:r>
    </w:p>
    <w:p w14:paraId="4899EBB1" w14:textId="77777777" w:rsidR="000215E1" w:rsidRDefault="000215E1" w:rsidP="00DD27CE">
      <w:pPr>
        <w:ind w:left="576"/>
      </w:pPr>
    </w:p>
    <w:p w14:paraId="47FBA521" w14:textId="71A50F25" w:rsidR="000215E1" w:rsidRDefault="000215E1" w:rsidP="00935CDB">
      <w:pPr>
        <w:pStyle w:val="R-14"/>
      </w:pPr>
      <w:r>
        <w:t>&gt; beta.ci</w:t>
      </w:r>
      <w:r w:rsidR="00BA68E3">
        <w:t xml:space="preserve"> </w:t>
      </w:r>
      <w:r>
        <w:t>&lt;-</w:t>
      </w:r>
      <w:r w:rsidR="00BA68E3">
        <w:t xml:space="preserve"> </w:t>
      </w:r>
      <w:proofErr w:type="spellStart"/>
      <w:proofErr w:type="gramStart"/>
      <w:r>
        <w:t>confint.default</w:t>
      </w:r>
      <w:proofErr w:type="spellEnd"/>
      <w:r>
        <w:t>(</w:t>
      </w:r>
      <w:proofErr w:type="gramEnd"/>
      <w:r>
        <w:t xml:space="preserve">object = </w:t>
      </w:r>
      <w:proofErr w:type="spellStart"/>
      <w:r>
        <w:t>mod.fit</w:t>
      </w:r>
      <w:proofErr w:type="spellEnd"/>
      <w:r>
        <w:t xml:space="preserve">, </w:t>
      </w:r>
      <w:proofErr w:type="spellStart"/>
      <w:r>
        <w:t>parm</w:t>
      </w:r>
      <w:proofErr w:type="spellEnd"/>
      <w:r>
        <w:t xml:space="preserve"> = "width", level = 0.95)</w:t>
      </w:r>
    </w:p>
    <w:p w14:paraId="1BFACDC3" w14:textId="77777777" w:rsidR="000215E1" w:rsidRDefault="000215E1" w:rsidP="00935CDB">
      <w:pPr>
        <w:pStyle w:val="R-14"/>
      </w:pPr>
      <w:r>
        <w:t>&gt; beta.ci</w:t>
      </w:r>
    </w:p>
    <w:p w14:paraId="7FB48575" w14:textId="77777777" w:rsidR="000215E1" w:rsidRDefault="000215E1" w:rsidP="00935CDB">
      <w:pPr>
        <w:pStyle w:val="R-14"/>
      </w:pPr>
      <w:r>
        <w:t xml:space="preserve">          2.5 %    97.5 %</w:t>
      </w:r>
    </w:p>
    <w:p w14:paraId="4B70CE9E" w14:textId="77777777" w:rsidR="000215E1" w:rsidRDefault="000215E1" w:rsidP="00935CDB">
      <w:pPr>
        <w:pStyle w:val="R-14"/>
      </w:pPr>
      <w:r>
        <w:t>width 0.1249137 0.2031764</w:t>
      </w:r>
    </w:p>
    <w:p w14:paraId="41B359A4" w14:textId="77777777" w:rsidR="000215E1" w:rsidRDefault="000215E1" w:rsidP="00935CDB">
      <w:pPr>
        <w:pStyle w:val="R-14"/>
      </w:pPr>
      <w:r>
        <w:lastRenderedPageBreak/>
        <w:t>&gt; exp(beta.ci)</w:t>
      </w:r>
    </w:p>
    <w:p w14:paraId="1882C50B" w14:textId="77777777" w:rsidR="000215E1" w:rsidRDefault="000215E1" w:rsidP="00935CDB">
      <w:pPr>
        <w:pStyle w:val="R-14"/>
      </w:pPr>
      <w:r>
        <w:t xml:space="preserve">         2.5 %   97.5 %</w:t>
      </w:r>
    </w:p>
    <w:p w14:paraId="6BCDF004" w14:textId="77777777" w:rsidR="000215E1" w:rsidRDefault="000215E1" w:rsidP="00935CDB">
      <w:pPr>
        <w:pStyle w:val="R-14"/>
      </w:pPr>
      <w:r>
        <w:t>width 1.133051 1.225289</w:t>
      </w:r>
    </w:p>
    <w:p w14:paraId="567DAC0F" w14:textId="77777777" w:rsidR="000215E1" w:rsidRDefault="000215E1" w:rsidP="00935CDB">
      <w:pPr>
        <w:pStyle w:val="R-14"/>
      </w:pPr>
      <w:r>
        <w:t>&gt; 100*(exp(beta.ci) - 1)</w:t>
      </w:r>
    </w:p>
    <w:p w14:paraId="2E3E96CA" w14:textId="77777777" w:rsidR="000215E1" w:rsidRDefault="000215E1" w:rsidP="00935CDB">
      <w:pPr>
        <w:pStyle w:val="R-14"/>
      </w:pPr>
      <w:r>
        <w:t xml:space="preserve">         2.5 %   97.5 %</w:t>
      </w:r>
    </w:p>
    <w:p w14:paraId="322B86F8" w14:textId="77777777" w:rsidR="000215E1" w:rsidRDefault="000215E1" w:rsidP="00935CDB">
      <w:pPr>
        <w:pStyle w:val="R-14"/>
      </w:pPr>
      <w:r>
        <w:t>width 13.30507 22.52887</w:t>
      </w:r>
    </w:p>
    <w:p w14:paraId="4AE5ABCA" w14:textId="77777777" w:rsidR="000215E1" w:rsidRDefault="000215E1" w:rsidP="00935CDB">
      <w:pPr>
        <w:pStyle w:val="R-14"/>
      </w:pPr>
      <w:r>
        <w:t xml:space="preserve"> </w:t>
      </w:r>
    </w:p>
    <w:p w14:paraId="67FC3A19" w14:textId="67060D45" w:rsidR="000215E1" w:rsidRDefault="000215E1" w:rsidP="00935CDB">
      <w:pPr>
        <w:pStyle w:val="R-14"/>
      </w:pPr>
      <w:r>
        <w:t>&gt; #</w:t>
      </w:r>
      <w:r w:rsidR="00935CDB">
        <w:t xml:space="preserve"> </w:t>
      </w:r>
      <w:r>
        <w:t xml:space="preserve">Calculation without </w:t>
      </w:r>
      <w:proofErr w:type="spellStart"/>
      <w:r>
        <w:t>confint.default</w:t>
      </w:r>
      <w:proofErr w:type="spellEnd"/>
    </w:p>
    <w:p w14:paraId="524DC97E" w14:textId="77777777" w:rsidR="000215E1" w:rsidRDefault="000215E1" w:rsidP="00935CDB">
      <w:pPr>
        <w:pStyle w:val="R-14"/>
      </w:pPr>
      <w:r>
        <w:t xml:space="preserve">&gt; </w:t>
      </w:r>
      <w:proofErr w:type="spellStart"/>
      <w:r>
        <w:t>vcov</w:t>
      </w:r>
      <w:proofErr w:type="spellEnd"/>
      <w:r>
        <w:t>(</w:t>
      </w:r>
      <w:proofErr w:type="spellStart"/>
      <w:r>
        <w:t>mod.fit</w:t>
      </w:r>
      <w:proofErr w:type="spellEnd"/>
      <w:r>
        <w:t>) #</w:t>
      </w:r>
      <w:proofErr w:type="spellStart"/>
      <w:r>
        <w:t>Var</w:t>
      </w:r>
      <w:proofErr w:type="spellEnd"/>
      <w:r>
        <w:t xml:space="preserve">^(beta^_1) is in the (2,2) element of </w:t>
      </w:r>
    </w:p>
    <w:p w14:paraId="0D37BCA5" w14:textId="77777777" w:rsidR="000215E1" w:rsidRDefault="000215E1" w:rsidP="00935CDB">
      <w:pPr>
        <w:pStyle w:val="R-14"/>
      </w:pPr>
      <w:r>
        <w:t xml:space="preserve">                 the matrix</w:t>
      </w:r>
    </w:p>
    <w:p w14:paraId="2E4CBF90" w14:textId="77777777" w:rsidR="000215E1" w:rsidRDefault="000215E1" w:rsidP="00935CDB">
      <w:pPr>
        <w:pStyle w:val="R-14"/>
      </w:pPr>
      <w:r>
        <w:t xml:space="preserve">            (Intercept)         width</w:t>
      </w:r>
    </w:p>
    <w:p w14:paraId="515DC4F0" w14:textId="77777777" w:rsidR="000215E1" w:rsidRDefault="000215E1" w:rsidP="00935CDB">
      <w:pPr>
        <w:pStyle w:val="R-14"/>
      </w:pPr>
      <w:r>
        <w:t>(Intercept)  0.29402590 -0.0107895239</w:t>
      </w:r>
    </w:p>
    <w:p w14:paraId="15590BEC" w14:textId="77777777" w:rsidR="000215E1" w:rsidRDefault="000215E1" w:rsidP="00935CDB">
      <w:pPr>
        <w:pStyle w:val="R-14"/>
      </w:pPr>
      <w:proofErr w:type="gramStart"/>
      <w:r>
        <w:t>width</w:t>
      </w:r>
      <w:proofErr w:type="gramEnd"/>
      <w:r>
        <w:t xml:space="preserve">       -0.01078952  0.0003986151</w:t>
      </w:r>
    </w:p>
    <w:p w14:paraId="142B2352" w14:textId="5C5A7770" w:rsidR="000215E1" w:rsidRDefault="000215E1" w:rsidP="00935CDB">
      <w:pPr>
        <w:pStyle w:val="R-14"/>
      </w:pPr>
      <w:r>
        <w:t>&gt; beta.ci</w:t>
      </w:r>
      <w:r w:rsidR="00BA68E3">
        <w:t xml:space="preserve"> </w:t>
      </w:r>
      <w:r>
        <w:t>&lt;-</w:t>
      </w:r>
      <w:r w:rsidR="00BA68E3">
        <w:t xml:space="preserve"> </w:t>
      </w:r>
      <w:proofErr w:type="spellStart"/>
      <w:r>
        <w:t>mod.fit$</w:t>
      </w:r>
      <w:proofErr w:type="gramStart"/>
      <w:r>
        <w:t>coefficients</w:t>
      </w:r>
      <w:proofErr w:type="spellEnd"/>
      <w:r>
        <w:t>[</w:t>
      </w:r>
      <w:proofErr w:type="gramEnd"/>
      <w:r>
        <w:t xml:space="preserve">2] + </w:t>
      </w:r>
      <w:proofErr w:type="spellStart"/>
      <w:r>
        <w:t>qnorm</w:t>
      </w:r>
      <w:proofErr w:type="spellEnd"/>
      <w:r>
        <w:t xml:space="preserve">(p = c(0.025, </w:t>
      </w:r>
    </w:p>
    <w:p w14:paraId="55F6B84F" w14:textId="77777777" w:rsidR="000215E1" w:rsidRDefault="000215E1" w:rsidP="00935CDB">
      <w:pPr>
        <w:pStyle w:val="R-14"/>
      </w:pPr>
      <w:r>
        <w:t xml:space="preserve">    0.975))*</w:t>
      </w:r>
      <w:proofErr w:type="spellStart"/>
      <w:proofErr w:type="gramStart"/>
      <w:r>
        <w:t>sqrt</w:t>
      </w:r>
      <w:proofErr w:type="spellEnd"/>
      <w:r>
        <w:t>(</w:t>
      </w:r>
      <w:proofErr w:type="spellStart"/>
      <w:proofErr w:type="gramEnd"/>
      <w:r>
        <w:t>vcov</w:t>
      </w:r>
      <w:proofErr w:type="spellEnd"/>
      <w:r>
        <w:t>(</w:t>
      </w:r>
      <w:proofErr w:type="spellStart"/>
      <w:r>
        <w:t>mod.fit</w:t>
      </w:r>
      <w:proofErr w:type="spellEnd"/>
      <w:r>
        <w:t>)[2,2])</w:t>
      </w:r>
    </w:p>
    <w:p w14:paraId="75099F63" w14:textId="77777777" w:rsidR="000215E1" w:rsidRDefault="000215E1" w:rsidP="00935CDB">
      <w:pPr>
        <w:pStyle w:val="R-14"/>
      </w:pPr>
      <w:r>
        <w:t>&gt; 100*(exp(beta.ci) - 1)</w:t>
      </w:r>
    </w:p>
    <w:p w14:paraId="0D34A05D" w14:textId="68B354BA" w:rsidR="000215E1" w:rsidRDefault="000215E1" w:rsidP="00935CDB">
      <w:pPr>
        <w:pStyle w:val="R-14"/>
      </w:pPr>
      <w:r>
        <w:t>[1] 13.30507 22.52887</w:t>
      </w:r>
    </w:p>
    <w:p w14:paraId="42C63FF5" w14:textId="5F72056E" w:rsidR="00116607" w:rsidRDefault="00116607" w:rsidP="00935CDB">
      <w:pPr>
        <w:pStyle w:val="R-14"/>
      </w:pPr>
    </w:p>
    <w:p w14:paraId="75C209B5" w14:textId="24D06BDC" w:rsidR="00116607" w:rsidRDefault="00116607" w:rsidP="00116607">
      <w:pPr>
        <w:pStyle w:val="R-14"/>
      </w:pPr>
      <w:r>
        <w:t xml:space="preserve">&gt; </w:t>
      </w:r>
      <w:proofErr w:type="gramStart"/>
      <w:r>
        <w:t>library(</w:t>
      </w:r>
      <w:proofErr w:type="gramEnd"/>
      <w:r>
        <w:t xml:space="preserve">package = </w:t>
      </w:r>
      <w:proofErr w:type="spellStart"/>
      <w:r>
        <w:t>emmeans</w:t>
      </w:r>
      <w:proofErr w:type="spellEnd"/>
      <w:r>
        <w:t>)</w:t>
      </w:r>
    </w:p>
    <w:p w14:paraId="49A47F8A" w14:textId="76366D27" w:rsidR="00116607" w:rsidRDefault="00116607" w:rsidP="00116607">
      <w:pPr>
        <w:pStyle w:val="R-14"/>
      </w:pPr>
      <w:r>
        <w:t xml:space="preserve">&gt; </w:t>
      </w:r>
      <w:proofErr w:type="spellStart"/>
      <w:r>
        <w:t>calc.est</w:t>
      </w:r>
      <w:proofErr w:type="spellEnd"/>
      <w:r>
        <w:t xml:space="preserve"> &lt;- </w:t>
      </w:r>
      <w:proofErr w:type="spellStart"/>
      <w:proofErr w:type="gramStart"/>
      <w:r>
        <w:t>emmeans</w:t>
      </w:r>
      <w:proofErr w:type="spellEnd"/>
      <w:r>
        <w:t>(</w:t>
      </w:r>
      <w:proofErr w:type="gramEnd"/>
      <w:r>
        <w:t xml:space="preserve">object = </w:t>
      </w:r>
      <w:proofErr w:type="spellStart"/>
      <w:r>
        <w:t>mod.fit</w:t>
      </w:r>
      <w:proofErr w:type="spellEnd"/>
      <w:r>
        <w:t>, specs = ~ width, at = list(width = c(31, 30)), type = "response</w:t>
      </w:r>
      <w:r w:rsidR="00C556A2">
        <w:t>"</w:t>
      </w:r>
      <w:r>
        <w:t>)</w:t>
      </w:r>
    </w:p>
    <w:p w14:paraId="7377B998" w14:textId="34425B20" w:rsidR="00116607" w:rsidRDefault="00116607" w:rsidP="00116607">
      <w:pPr>
        <w:pStyle w:val="R-14"/>
      </w:pPr>
      <w:r>
        <w:t xml:space="preserve">&gt; test.info &lt;- </w:t>
      </w:r>
      <w:proofErr w:type="gramStart"/>
      <w:r>
        <w:t>contrast(</w:t>
      </w:r>
      <w:proofErr w:type="gramEnd"/>
      <w:r>
        <w:t xml:space="preserve">object = </w:t>
      </w:r>
      <w:proofErr w:type="spellStart"/>
      <w:r>
        <w:t>calc.est</w:t>
      </w:r>
      <w:proofErr w:type="spellEnd"/>
      <w:r>
        <w:t>, method = "pairwise")</w:t>
      </w:r>
    </w:p>
    <w:p w14:paraId="593318E1" w14:textId="1A8D39E5" w:rsidR="00116607" w:rsidRDefault="00116607" w:rsidP="00116607">
      <w:pPr>
        <w:pStyle w:val="R-14"/>
      </w:pPr>
      <w:r>
        <w:t xml:space="preserve">&gt; </w:t>
      </w:r>
      <w:proofErr w:type="spellStart"/>
      <w:proofErr w:type="gramStart"/>
      <w:r>
        <w:t>confint</w:t>
      </w:r>
      <w:proofErr w:type="spellEnd"/>
      <w:r>
        <w:t>(</w:t>
      </w:r>
      <w:proofErr w:type="gramEnd"/>
      <w:r>
        <w:t>object = test.info, adjust = "none", level = 0.95)</w:t>
      </w:r>
    </w:p>
    <w:p w14:paraId="184E4B9A" w14:textId="77777777" w:rsidR="00116607" w:rsidRDefault="00116607" w:rsidP="00116607">
      <w:pPr>
        <w:pStyle w:val="R-14"/>
      </w:pPr>
      <w:r>
        <w:t xml:space="preserve"> </w:t>
      </w:r>
      <w:proofErr w:type="gramStart"/>
      <w:r>
        <w:t>contrast</w:t>
      </w:r>
      <w:proofErr w:type="gramEnd"/>
      <w:r>
        <w:t xml:space="preserve">          ratio     SE  </w:t>
      </w:r>
      <w:proofErr w:type="spellStart"/>
      <w:r>
        <w:t>df</w:t>
      </w:r>
      <w:proofErr w:type="spellEnd"/>
      <w:r>
        <w:t xml:space="preserve"> </w:t>
      </w:r>
      <w:proofErr w:type="spellStart"/>
      <w:r>
        <w:t>asymp.LCL</w:t>
      </w:r>
      <w:proofErr w:type="spellEnd"/>
      <w:r>
        <w:t xml:space="preserve"> </w:t>
      </w:r>
      <w:proofErr w:type="spellStart"/>
      <w:r>
        <w:t>asymp.UCL</w:t>
      </w:r>
      <w:proofErr w:type="spellEnd"/>
    </w:p>
    <w:p w14:paraId="0EB720F3" w14:textId="77777777" w:rsidR="00116607" w:rsidRDefault="00116607" w:rsidP="00116607">
      <w:pPr>
        <w:pStyle w:val="R-14"/>
      </w:pPr>
      <w:r>
        <w:t xml:space="preserve"> width31 / </w:t>
      </w:r>
      <w:proofErr w:type="gramStart"/>
      <w:r>
        <w:t>width30  1.18</w:t>
      </w:r>
      <w:proofErr w:type="gramEnd"/>
      <w:r>
        <w:t xml:space="preserve"> 0.0235 Inf      1.13      1.23</w:t>
      </w:r>
    </w:p>
    <w:p w14:paraId="2277C121" w14:textId="77777777" w:rsidR="00116607" w:rsidRDefault="00116607" w:rsidP="00116607">
      <w:pPr>
        <w:pStyle w:val="R-14"/>
      </w:pPr>
    </w:p>
    <w:p w14:paraId="6738C0F7" w14:textId="77777777" w:rsidR="00116607" w:rsidRDefault="00116607" w:rsidP="00116607">
      <w:pPr>
        <w:pStyle w:val="R-14"/>
      </w:pPr>
      <w:r>
        <w:t xml:space="preserve">Confidence level used: 0.95 </w:t>
      </w:r>
    </w:p>
    <w:p w14:paraId="344723E1" w14:textId="587246CA" w:rsidR="00116607" w:rsidRDefault="00116607" w:rsidP="00116607">
      <w:pPr>
        <w:pStyle w:val="R-14"/>
      </w:pPr>
      <w:r>
        <w:t>Intervals are back-transformed from the log scale</w:t>
      </w:r>
    </w:p>
    <w:p w14:paraId="3312A846" w14:textId="0E9A388F" w:rsidR="00116607" w:rsidRDefault="00116607" w:rsidP="00116607"/>
    <w:p w14:paraId="6EFC8844" w14:textId="77777777" w:rsidR="00116607" w:rsidRDefault="00116607" w:rsidP="00116607">
      <w:pPr>
        <w:ind w:left="720"/>
      </w:pPr>
      <w:r w:rsidRPr="00116607">
        <w:rPr>
          <w:u w:val="single"/>
        </w:rPr>
        <w:t>Comments</w:t>
      </w:r>
      <w:r>
        <w:t>:</w:t>
      </w:r>
    </w:p>
    <w:p w14:paraId="4D787AD9" w14:textId="79B27F47" w:rsidR="00116607" w:rsidRDefault="00116607" w:rsidP="00116607">
      <w:pPr>
        <w:pStyle w:val="ListParagraph"/>
        <w:numPr>
          <w:ilvl w:val="0"/>
          <w:numId w:val="49"/>
        </w:numPr>
      </w:pPr>
      <w:r>
        <w:t xml:space="preserve">The </w:t>
      </w:r>
      <w:proofErr w:type="spellStart"/>
      <w:r w:rsidRPr="00116607">
        <w:rPr>
          <w:rFonts w:ascii="Courier New" w:hAnsi="Courier New" w:cs="Courier New"/>
        </w:rPr>
        <w:t>emmeans</w:t>
      </w:r>
      <w:proofErr w:type="spellEnd"/>
      <w:r>
        <w:t xml:space="preserve"> package does not provide an easy way to get PC exactly. Instead, we can take the information provided and state </w:t>
      </w:r>
      <w:r w:rsidR="007F39AD" w:rsidRPr="009975E4">
        <w:rPr>
          <w:position w:val="-14"/>
        </w:rPr>
        <w:object w:dxaOrig="4740" w:dyaOrig="600" w14:anchorId="31B488CA">
          <v:shape id="_x0000_i1037" type="#_x0000_t75" style="width:236.8pt;height:30.4pt" o:ole="">
            <v:imagedata r:id="rId18" o:title=""/>
          </v:shape>
          <o:OLEObject Type="Embed" ProgID="Equation.DSMT4" ShapeID="_x0000_i1037" DrawAspect="Content" ObjectID="_1735671940" r:id="rId19"/>
        </w:object>
      </w:r>
      <w:r>
        <w:t xml:space="preserve"> </w:t>
      </w:r>
      <w:r w:rsidR="005F7F0D">
        <w:t>with</w:t>
      </w:r>
      <w:r>
        <w:t xml:space="preserve"> the 95% confidence interval </w:t>
      </w:r>
      <w:r w:rsidR="005F7F0D">
        <w:t>a</w:t>
      </w:r>
      <w:r>
        <w:t xml:space="preserve">s (13%, 23%). </w:t>
      </w:r>
    </w:p>
    <w:p w14:paraId="4A985846" w14:textId="45CCF5DC" w:rsidR="00116607" w:rsidRDefault="00116607" w:rsidP="00116607">
      <w:pPr>
        <w:pStyle w:val="ListParagraph"/>
        <w:numPr>
          <w:ilvl w:val="0"/>
          <w:numId w:val="49"/>
        </w:numPr>
      </w:pPr>
      <w:r>
        <w:t xml:space="preserve">I needed a c = </w:t>
      </w:r>
      <w:proofErr w:type="gramStart"/>
      <w:r>
        <w:t>1</w:t>
      </w:r>
      <w:proofErr w:type="gramEnd"/>
      <w:r>
        <w:t xml:space="preserve"> unit increase in width for </w:t>
      </w:r>
      <w:proofErr w:type="spellStart"/>
      <w:r w:rsidRPr="00116607">
        <w:rPr>
          <w:rFonts w:ascii="Courier New" w:hAnsi="Courier New" w:cs="Courier New"/>
        </w:rPr>
        <w:t>emmeans</w:t>
      </w:r>
      <w:proofErr w:type="spellEnd"/>
      <w:r>
        <w:t xml:space="preserve"> so I chose two different values of </w:t>
      </w:r>
      <w:r w:rsidRPr="00116607">
        <w:rPr>
          <w:rFonts w:ascii="Courier New" w:hAnsi="Courier New" w:cs="Courier New"/>
        </w:rPr>
        <w:t>width</w:t>
      </w:r>
      <w:r>
        <w:t xml:space="preserve"> and included </w:t>
      </w:r>
      <w:r>
        <w:lastRenderedPageBreak/>
        <w:t xml:space="preserve">them in the </w:t>
      </w:r>
      <w:r w:rsidRPr="005F7F0D">
        <w:rPr>
          <w:rFonts w:ascii="Courier New" w:hAnsi="Courier New" w:cs="Courier New"/>
        </w:rPr>
        <w:t>at</w:t>
      </w:r>
      <w:r>
        <w:t xml:space="preserve"> argument. Because x is not in PC, I could have included other values for </w:t>
      </w:r>
      <w:r w:rsidRPr="005F7F0D">
        <w:rPr>
          <w:rFonts w:ascii="Courier New" w:hAnsi="Courier New" w:cs="Courier New"/>
        </w:rPr>
        <w:t>width</w:t>
      </w:r>
      <w:r>
        <w:t xml:space="preserve"> as long as they were </w:t>
      </w:r>
      <w:proofErr w:type="gramStart"/>
      <w:r>
        <w:t>1</w:t>
      </w:r>
      <w:proofErr w:type="gramEnd"/>
      <w:r>
        <w:t xml:space="preserve"> unit apart. </w:t>
      </w:r>
    </w:p>
    <w:p w14:paraId="1D334ECC" w14:textId="77777777" w:rsidR="000215E1" w:rsidRDefault="000215E1" w:rsidP="000215E1">
      <w:pPr>
        <w:ind w:left="432"/>
      </w:pPr>
    </w:p>
    <w:p w14:paraId="38E800B3" w14:textId="77777777" w:rsidR="004E077B" w:rsidRDefault="004E077B" w:rsidP="000215E1">
      <w:pPr>
        <w:ind w:left="432"/>
      </w:pPr>
    </w:p>
    <w:p w14:paraId="73612E4B" w14:textId="7C97A9CC" w:rsidR="004E077B" w:rsidRDefault="004E077B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E801E0E" w14:textId="082173A2" w:rsidR="004E077B" w:rsidRPr="004E077B" w:rsidRDefault="004E077B" w:rsidP="004E077B">
      <w:pPr>
        <w:rPr>
          <w:b/>
        </w:rPr>
      </w:pPr>
      <w:r w:rsidRPr="004E077B">
        <w:rPr>
          <w:b/>
        </w:rPr>
        <w:lastRenderedPageBreak/>
        <w:t xml:space="preserve">Section </w:t>
      </w:r>
      <w:r>
        <w:rPr>
          <w:b/>
        </w:rPr>
        <w:t>4.2.3</w:t>
      </w:r>
      <w:r w:rsidRPr="004E077B">
        <w:rPr>
          <w:b/>
        </w:rPr>
        <w:t xml:space="preserve"> </w:t>
      </w:r>
      <w:r>
        <w:rPr>
          <w:b/>
        </w:rPr>
        <w:t>–</w:t>
      </w:r>
      <w:r w:rsidRPr="004E077B">
        <w:rPr>
          <w:b/>
        </w:rPr>
        <w:t xml:space="preserve"> </w:t>
      </w:r>
      <w:r>
        <w:rPr>
          <w:b/>
        </w:rPr>
        <w:t>Categorical explanatory variables</w:t>
      </w:r>
    </w:p>
    <w:p w14:paraId="140E0775" w14:textId="77777777" w:rsidR="004E077B" w:rsidRPr="00827CDD" w:rsidRDefault="004E077B" w:rsidP="004E077B">
      <w:pPr>
        <w:ind w:left="720"/>
      </w:pPr>
    </w:p>
    <w:p w14:paraId="452AE291" w14:textId="14E9E7FE" w:rsidR="004E077B" w:rsidRDefault="004E077B" w:rsidP="004E077B">
      <w:pPr>
        <w:ind w:left="720"/>
      </w:pPr>
      <w:r>
        <w:t xml:space="preserve">You can handle these variables in a similar manner as shown </w:t>
      </w:r>
      <w:r w:rsidR="001C12FD">
        <w:t>in the past</w:t>
      </w:r>
      <w:r>
        <w:t>! Suppose an explanatory variable has levels of A, B, C, and D. Three indicator variables can be used to represent the explanatory variable in a model:</w:t>
      </w:r>
    </w:p>
    <w:p w14:paraId="1942ADEB" w14:textId="77777777" w:rsidR="004E077B" w:rsidRDefault="004E077B" w:rsidP="004E077B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155"/>
        <w:gridCol w:w="1154"/>
        <w:gridCol w:w="1154"/>
      </w:tblGrid>
      <w:tr w:rsidR="004E077B" w14:paraId="593B428E" w14:textId="77777777" w:rsidTr="00D4461D">
        <w:trPr>
          <w:jc w:val="center"/>
        </w:trPr>
        <w:tc>
          <w:tcPr>
            <w:tcW w:w="0" w:type="auto"/>
            <w:tcBorders>
              <w:top w:val="nil"/>
              <w:left w:val="nil"/>
            </w:tcBorders>
          </w:tcPr>
          <w:p w14:paraId="2E16D0A9" w14:textId="77777777" w:rsidR="004E077B" w:rsidRDefault="004E077B" w:rsidP="00D4461D"/>
        </w:tc>
        <w:tc>
          <w:tcPr>
            <w:tcW w:w="0" w:type="auto"/>
            <w:gridSpan w:val="3"/>
          </w:tcPr>
          <w:p w14:paraId="3C4FB764" w14:textId="77777777" w:rsidR="004E077B" w:rsidRDefault="004E077B" w:rsidP="00D4461D">
            <w:pPr>
              <w:jc w:val="center"/>
            </w:pPr>
            <w:r>
              <w:t>Indicator variables</w:t>
            </w:r>
          </w:p>
        </w:tc>
      </w:tr>
      <w:tr w:rsidR="004E077B" w14:paraId="7936B70E" w14:textId="77777777" w:rsidTr="00D4461D">
        <w:trPr>
          <w:jc w:val="center"/>
        </w:trPr>
        <w:tc>
          <w:tcPr>
            <w:tcW w:w="0" w:type="auto"/>
          </w:tcPr>
          <w:p w14:paraId="51752983" w14:textId="77777777" w:rsidR="004E077B" w:rsidRDefault="004E077B" w:rsidP="00D4461D">
            <w:r>
              <w:t>Levels</w:t>
            </w:r>
          </w:p>
        </w:tc>
        <w:tc>
          <w:tcPr>
            <w:tcW w:w="0" w:type="auto"/>
          </w:tcPr>
          <w:p w14:paraId="16C65DF6" w14:textId="77777777" w:rsidR="004E077B" w:rsidRPr="0054305A" w:rsidRDefault="004E077B" w:rsidP="00D4461D">
            <w:pPr>
              <w:jc w:val="center"/>
            </w:pPr>
            <w:r>
              <w:t>x</w:t>
            </w:r>
            <w:r w:rsidRPr="00AD4135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14:paraId="530F51E6" w14:textId="77777777" w:rsidR="004E077B" w:rsidRDefault="004E077B" w:rsidP="00D4461D">
            <w:pPr>
              <w:jc w:val="center"/>
            </w:pPr>
            <w:r>
              <w:t>x</w:t>
            </w:r>
            <w:r w:rsidRPr="00AD4135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14:paraId="0DC5D2DA" w14:textId="77777777" w:rsidR="004E077B" w:rsidRDefault="004E077B" w:rsidP="00D4461D">
            <w:pPr>
              <w:jc w:val="center"/>
            </w:pPr>
            <w:r>
              <w:t>x</w:t>
            </w:r>
            <w:r w:rsidRPr="00AD4135">
              <w:rPr>
                <w:vertAlign w:val="subscript"/>
              </w:rPr>
              <w:t>3</w:t>
            </w:r>
          </w:p>
        </w:tc>
      </w:tr>
      <w:tr w:rsidR="004E077B" w14:paraId="5D073AC1" w14:textId="77777777" w:rsidTr="00D4461D">
        <w:trPr>
          <w:jc w:val="center"/>
        </w:trPr>
        <w:tc>
          <w:tcPr>
            <w:tcW w:w="0" w:type="auto"/>
          </w:tcPr>
          <w:p w14:paraId="43198753" w14:textId="77777777" w:rsidR="004E077B" w:rsidRDefault="004E077B" w:rsidP="00D4461D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14:paraId="45696314" w14:textId="77777777" w:rsidR="004E077B" w:rsidRDefault="004E077B" w:rsidP="00D4461D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770ACDA1" w14:textId="77777777" w:rsidR="004E077B" w:rsidRDefault="004E077B" w:rsidP="00D4461D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747F91BF" w14:textId="77777777" w:rsidR="004E077B" w:rsidRDefault="004E077B" w:rsidP="00D4461D">
            <w:pPr>
              <w:jc w:val="center"/>
            </w:pPr>
            <w:r>
              <w:t>0</w:t>
            </w:r>
          </w:p>
        </w:tc>
      </w:tr>
      <w:tr w:rsidR="004E077B" w14:paraId="768D6495" w14:textId="77777777" w:rsidTr="00D4461D">
        <w:trPr>
          <w:jc w:val="center"/>
        </w:trPr>
        <w:tc>
          <w:tcPr>
            <w:tcW w:w="0" w:type="auto"/>
          </w:tcPr>
          <w:p w14:paraId="7965ED61" w14:textId="77777777" w:rsidR="004E077B" w:rsidRDefault="004E077B" w:rsidP="00D4461D">
            <w:pPr>
              <w:jc w:val="center"/>
            </w:pPr>
            <w:r>
              <w:t>B</w:t>
            </w:r>
          </w:p>
        </w:tc>
        <w:tc>
          <w:tcPr>
            <w:tcW w:w="0" w:type="auto"/>
          </w:tcPr>
          <w:p w14:paraId="56509853" w14:textId="77777777" w:rsidR="004E077B" w:rsidRDefault="004E077B" w:rsidP="00D4461D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CF08C2E" w14:textId="77777777" w:rsidR="004E077B" w:rsidRDefault="004E077B" w:rsidP="00D4461D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633EAD5B" w14:textId="77777777" w:rsidR="004E077B" w:rsidRDefault="004E077B" w:rsidP="00D4461D">
            <w:pPr>
              <w:jc w:val="center"/>
            </w:pPr>
            <w:r>
              <w:t>0</w:t>
            </w:r>
          </w:p>
        </w:tc>
      </w:tr>
      <w:tr w:rsidR="004E077B" w14:paraId="26813D01" w14:textId="77777777" w:rsidTr="00D4461D">
        <w:trPr>
          <w:jc w:val="center"/>
        </w:trPr>
        <w:tc>
          <w:tcPr>
            <w:tcW w:w="0" w:type="auto"/>
          </w:tcPr>
          <w:p w14:paraId="295890E1" w14:textId="77777777" w:rsidR="004E077B" w:rsidRDefault="004E077B" w:rsidP="00D4461D">
            <w:pPr>
              <w:jc w:val="center"/>
            </w:pPr>
            <w:r>
              <w:t>C</w:t>
            </w:r>
          </w:p>
        </w:tc>
        <w:tc>
          <w:tcPr>
            <w:tcW w:w="0" w:type="auto"/>
          </w:tcPr>
          <w:p w14:paraId="45BADF2E" w14:textId="77777777" w:rsidR="004E077B" w:rsidRDefault="004E077B" w:rsidP="00D4461D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2D10C094" w14:textId="77777777" w:rsidR="004E077B" w:rsidRDefault="004E077B" w:rsidP="00D4461D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6B8B193" w14:textId="77777777" w:rsidR="004E077B" w:rsidRDefault="004E077B" w:rsidP="00D4461D">
            <w:pPr>
              <w:jc w:val="center"/>
            </w:pPr>
            <w:r>
              <w:t>0</w:t>
            </w:r>
          </w:p>
        </w:tc>
      </w:tr>
      <w:tr w:rsidR="004E077B" w14:paraId="43BEDFFA" w14:textId="77777777" w:rsidTr="00D4461D">
        <w:trPr>
          <w:jc w:val="center"/>
        </w:trPr>
        <w:tc>
          <w:tcPr>
            <w:tcW w:w="0" w:type="auto"/>
          </w:tcPr>
          <w:p w14:paraId="470E18B8" w14:textId="77777777" w:rsidR="004E077B" w:rsidRDefault="004E077B" w:rsidP="00D4461D">
            <w:pPr>
              <w:jc w:val="center"/>
            </w:pPr>
            <w:r>
              <w:t>D</w:t>
            </w:r>
          </w:p>
        </w:tc>
        <w:tc>
          <w:tcPr>
            <w:tcW w:w="0" w:type="auto"/>
          </w:tcPr>
          <w:p w14:paraId="02D71E05" w14:textId="77777777" w:rsidR="004E077B" w:rsidRDefault="004E077B" w:rsidP="00D4461D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11A74AC2" w14:textId="77777777" w:rsidR="004E077B" w:rsidRDefault="004E077B" w:rsidP="00D4461D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59EBBD02" w14:textId="77777777" w:rsidR="004E077B" w:rsidRDefault="004E077B" w:rsidP="00D4461D">
            <w:pPr>
              <w:jc w:val="center"/>
            </w:pPr>
            <w:r>
              <w:t>1</w:t>
            </w:r>
          </w:p>
        </w:tc>
      </w:tr>
    </w:tbl>
    <w:p w14:paraId="0CA34307" w14:textId="77777777" w:rsidR="004E077B" w:rsidRDefault="004E077B" w:rsidP="004E077B">
      <w:pPr>
        <w:ind w:left="720"/>
      </w:pPr>
    </w:p>
    <w:p w14:paraId="74209B8D" w14:textId="23C89BA3" w:rsidR="004E077B" w:rsidRDefault="004E077B" w:rsidP="004E077B">
      <w:pPr>
        <w:ind w:left="720"/>
      </w:pPr>
      <w:r>
        <w:t xml:space="preserve">A Poisson regression model with these indicator variables is </w:t>
      </w:r>
    </w:p>
    <w:p w14:paraId="4891FDF6" w14:textId="77777777" w:rsidR="004E077B" w:rsidRDefault="004E077B" w:rsidP="004E077B">
      <w:pPr>
        <w:ind w:left="720"/>
      </w:pPr>
    </w:p>
    <w:p w14:paraId="21FC63FD" w14:textId="77777777" w:rsidR="004E077B" w:rsidRDefault="004E077B" w:rsidP="004E077B">
      <w:pPr>
        <w:ind w:left="1440"/>
      </w:pPr>
      <w:r w:rsidRPr="00355C37">
        <w:rPr>
          <w:position w:val="-14"/>
        </w:rPr>
        <w:object w:dxaOrig="5100" w:dyaOrig="499" w14:anchorId="6D79C8FE">
          <v:shape id="_x0000_i1031" type="#_x0000_t75" style="width:255.2pt;height:26.4pt" o:ole="">
            <v:imagedata r:id="rId20" o:title=""/>
          </v:shape>
          <o:OLEObject Type="Embed" ProgID="Equation.DSMT4" ShapeID="_x0000_i1031" DrawAspect="Content" ObjectID="_1735671941" r:id="rId21"/>
        </w:object>
      </w:r>
    </w:p>
    <w:p w14:paraId="6A94ACCF" w14:textId="77777777" w:rsidR="004E077B" w:rsidRDefault="004E077B" w:rsidP="004E077B">
      <w:pPr>
        <w:ind w:left="720"/>
      </w:pPr>
    </w:p>
    <w:p w14:paraId="56653C28" w14:textId="62FFD46F" w:rsidR="004E077B" w:rsidRDefault="004E077B" w:rsidP="004E077B">
      <w:pPr>
        <w:ind w:left="720"/>
      </w:pPr>
      <w:r>
        <w:t xml:space="preserve">Focusing on </w:t>
      </w:r>
      <w:r>
        <w:sym w:font="Symbol" w:char="F062"/>
      </w:r>
      <w:r>
        <w:rPr>
          <w:vertAlign w:val="subscript"/>
        </w:rPr>
        <w:t>1</w:t>
      </w:r>
      <w:r>
        <w:t xml:space="preserve">, we have PC = </w:t>
      </w:r>
      <w:r w:rsidR="00C95E2F" w:rsidRPr="00C23DD9">
        <w:rPr>
          <w:position w:val="-14"/>
        </w:rPr>
        <w:object w:dxaOrig="3080" w:dyaOrig="499" w14:anchorId="7B4F5E7E">
          <v:shape id="_x0000_i1032" type="#_x0000_t75" style="width:154.4pt;height:24.8pt" o:ole="">
            <v:imagedata r:id="rId22" o:title=""/>
          </v:shape>
          <o:OLEObject Type="Embed" ProgID="Equation.DSMT4" ShapeID="_x0000_i1032" DrawAspect="Content" ObjectID="_1735671942" r:id="rId23"/>
        </w:object>
      </w:r>
      <w:r>
        <w:t xml:space="preserve"> representing the percentage change in the mean response for level B </w:t>
      </w:r>
      <w:r w:rsidR="00D4009D">
        <w:t xml:space="preserve">when </w:t>
      </w:r>
      <w:r>
        <w:t xml:space="preserve">compared to level A. </w:t>
      </w:r>
      <w:r w:rsidR="00D4009D">
        <w:t xml:space="preserve">Similar comparisons can be made for C to A and D to A. To compare level B to C, we have PC </w:t>
      </w:r>
      <w:proofErr w:type="gramStart"/>
      <w:r w:rsidR="00D4009D">
        <w:t xml:space="preserve">= </w:t>
      </w:r>
      <w:proofErr w:type="gramEnd"/>
      <w:r w:rsidR="00C95E2F" w:rsidRPr="00C23DD9">
        <w:rPr>
          <w:position w:val="-14"/>
        </w:rPr>
        <w:object w:dxaOrig="3840" w:dyaOrig="499" w14:anchorId="54AC7A9A">
          <v:shape id="_x0000_i1033" type="#_x0000_t75" style="width:192.8pt;height:24.8pt" o:ole="">
            <v:imagedata r:id="rId24" o:title=""/>
          </v:shape>
          <o:OLEObject Type="Embed" ProgID="Equation.DSMT4" ShapeID="_x0000_i1033" DrawAspect="Content" ObjectID="_1735671943" r:id="rId25"/>
        </w:object>
      </w:r>
      <w:r w:rsidR="00D4009D">
        <w:t>.</w:t>
      </w:r>
    </w:p>
    <w:p w14:paraId="086AD0A9" w14:textId="592DA47B" w:rsidR="004E077B" w:rsidRDefault="004E077B" w:rsidP="000A3F9B">
      <w:pPr>
        <w:spacing w:after="200" w:line="276" w:lineRule="auto"/>
      </w:pPr>
    </w:p>
    <w:sectPr w:rsidR="004E077B" w:rsidSect="002B6218">
      <w:headerReference w:type="defaul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7FC9F" w14:textId="77777777" w:rsidR="00AE70E7" w:rsidRDefault="00AE70E7" w:rsidP="006F27B5">
      <w:r>
        <w:separator/>
      </w:r>
    </w:p>
  </w:endnote>
  <w:endnote w:type="continuationSeparator" w:id="0">
    <w:p w14:paraId="4A2730DC" w14:textId="77777777" w:rsidR="00AE70E7" w:rsidRDefault="00AE70E7" w:rsidP="006F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68BBC" w14:textId="77777777" w:rsidR="00AE70E7" w:rsidRDefault="00AE70E7" w:rsidP="006F27B5">
      <w:r>
        <w:separator/>
      </w:r>
    </w:p>
  </w:footnote>
  <w:footnote w:type="continuationSeparator" w:id="0">
    <w:p w14:paraId="52BD806D" w14:textId="77777777" w:rsidR="00AE70E7" w:rsidRDefault="00AE70E7" w:rsidP="006F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2"/>
        <w:szCs w:val="32"/>
      </w:rPr>
      <w:id w:val="-2562151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F47124" w14:textId="6C36FE59" w:rsidR="00935CDB" w:rsidRPr="006F27B5" w:rsidRDefault="00935CDB">
        <w:pPr>
          <w:pStyle w:val="Header"/>
          <w:jc w:val="right"/>
          <w:rPr>
            <w:sz w:val="32"/>
            <w:szCs w:val="32"/>
          </w:rPr>
        </w:pPr>
        <w:r w:rsidRPr="006F27B5">
          <w:rPr>
            <w:sz w:val="32"/>
            <w:szCs w:val="32"/>
          </w:rPr>
          <w:fldChar w:fldCharType="begin"/>
        </w:r>
        <w:r w:rsidRPr="006F27B5">
          <w:rPr>
            <w:sz w:val="32"/>
            <w:szCs w:val="32"/>
          </w:rPr>
          <w:instrText xml:space="preserve"> PAGE   \* MERGEFORMAT </w:instrText>
        </w:r>
        <w:r w:rsidRPr="006F27B5">
          <w:rPr>
            <w:sz w:val="32"/>
            <w:szCs w:val="32"/>
          </w:rPr>
          <w:fldChar w:fldCharType="separate"/>
        </w:r>
        <w:r w:rsidR="007F39AD">
          <w:rPr>
            <w:noProof/>
            <w:sz w:val="32"/>
            <w:szCs w:val="32"/>
          </w:rPr>
          <w:t>7</w:t>
        </w:r>
        <w:r w:rsidRPr="006F27B5">
          <w:rPr>
            <w:noProof/>
            <w:sz w:val="32"/>
            <w:szCs w:val="32"/>
          </w:rPr>
          <w:fldChar w:fldCharType="end"/>
        </w:r>
      </w:p>
    </w:sdtContent>
  </w:sdt>
  <w:p w14:paraId="11A5513D" w14:textId="77777777" w:rsidR="00935CDB" w:rsidRDefault="00935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050B"/>
    <w:multiLevelType w:val="hybridMultilevel"/>
    <w:tmpl w:val="658AE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7201C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14E9746A"/>
    <w:multiLevelType w:val="hybridMultilevel"/>
    <w:tmpl w:val="B0983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505FE5"/>
    <w:multiLevelType w:val="hybridMultilevel"/>
    <w:tmpl w:val="29E0C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25053"/>
    <w:multiLevelType w:val="hybridMultilevel"/>
    <w:tmpl w:val="72884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806F57"/>
    <w:multiLevelType w:val="hybridMultilevel"/>
    <w:tmpl w:val="D344551E"/>
    <w:lvl w:ilvl="0" w:tplc="2DC2B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B324A8"/>
    <w:multiLevelType w:val="hybridMultilevel"/>
    <w:tmpl w:val="0DBC4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B57844"/>
    <w:multiLevelType w:val="hybridMultilevel"/>
    <w:tmpl w:val="122C6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113976"/>
    <w:multiLevelType w:val="hybridMultilevel"/>
    <w:tmpl w:val="75942138"/>
    <w:lvl w:ilvl="0" w:tplc="BFEAF8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B26A90"/>
    <w:multiLevelType w:val="hybridMultilevel"/>
    <w:tmpl w:val="5E40460C"/>
    <w:lvl w:ilvl="0" w:tplc="0ACA2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6A4D10"/>
    <w:multiLevelType w:val="hybridMultilevel"/>
    <w:tmpl w:val="29E6B68E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27FCD"/>
    <w:multiLevelType w:val="hybridMultilevel"/>
    <w:tmpl w:val="558EB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6657DE"/>
    <w:multiLevelType w:val="hybridMultilevel"/>
    <w:tmpl w:val="55647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856165"/>
    <w:multiLevelType w:val="hybridMultilevel"/>
    <w:tmpl w:val="3A901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626686"/>
    <w:multiLevelType w:val="hybridMultilevel"/>
    <w:tmpl w:val="EC8E9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2C24D5"/>
    <w:multiLevelType w:val="hybridMultilevel"/>
    <w:tmpl w:val="A23A3D90"/>
    <w:lvl w:ilvl="0" w:tplc="E99EF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1A76AB"/>
    <w:multiLevelType w:val="hybridMultilevel"/>
    <w:tmpl w:val="8710F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9B1E0B"/>
    <w:multiLevelType w:val="hybridMultilevel"/>
    <w:tmpl w:val="91EC8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8140B1"/>
    <w:multiLevelType w:val="hybridMultilevel"/>
    <w:tmpl w:val="0AB05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014778"/>
    <w:multiLevelType w:val="hybridMultilevel"/>
    <w:tmpl w:val="FD30C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517FB9"/>
    <w:multiLevelType w:val="hybridMultilevel"/>
    <w:tmpl w:val="5A747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716F6E"/>
    <w:multiLevelType w:val="hybridMultilevel"/>
    <w:tmpl w:val="5F7A3B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98580C"/>
    <w:multiLevelType w:val="hybridMultilevel"/>
    <w:tmpl w:val="363C268E"/>
    <w:lvl w:ilvl="0" w:tplc="3702AFC8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DA33B7"/>
    <w:multiLevelType w:val="hybridMultilevel"/>
    <w:tmpl w:val="16E0155E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2E34CE"/>
    <w:multiLevelType w:val="hybridMultilevel"/>
    <w:tmpl w:val="E5A22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6276CB"/>
    <w:multiLevelType w:val="hybridMultilevel"/>
    <w:tmpl w:val="35820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EB740B"/>
    <w:multiLevelType w:val="hybridMultilevel"/>
    <w:tmpl w:val="3A7872AC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7" w15:restartNumberingAfterBreak="0">
    <w:nsid w:val="55FB5738"/>
    <w:multiLevelType w:val="hybridMultilevel"/>
    <w:tmpl w:val="A74C9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0C2573"/>
    <w:multiLevelType w:val="hybridMultilevel"/>
    <w:tmpl w:val="B124560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59531B95"/>
    <w:multiLevelType w:val="hybridMultilevel"/>
    <w:tmpl w:val="8F982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3D0BF2"/>
    <w:multiLevelType w:val="hybridMultilevel"/>
    <w:tmpl w:val="C86C7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5A1B93"/>
    <w:multiLevelType w:val="hybridMultilevel"/>
    <w:tmpl w:val="252ECF8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5E8559E0"/>
    <w:multiLevelType w:val="hybridMultilevel"/>
    <w:tmpl w:val="32EAB49E"/>
    <w:lvl w:ilvl="0" w:tplc="E3EEA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A62B32"/>
    <w:multiLevelType w:val="hybridMultilevel"/>
    <w:tmpl w:val="2C60C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A756F9"/>
    <w:multiLevelType w:val="hybridMultilevel"/>
    <w:tmpl w:val="D0AE3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845C89"/>
    <w:multiLevelType w:val="hybridMultilevel"/>
    <w:tmpl w:val="79C4E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0F5A26"/>
    <w:multiLevelType w:val="hybridMultilevel"/>
    <w:tmpl w:val="7DD4B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332F88"/>
    <w:multiLevelType w:val="hybridMultilevel"/>
    <w:tmpl w:val="78F82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9B0C6D"/>
    <w:multiLevelType w:val="hybridMultilevel"/>
    <w:tmpl w:val="B3B82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B934FB"/>
    <w:multiLevelType w:val="hybridMultilevel"/>
    <w:tmpl w:val="5B16D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AB01C2"/>
    <w:multiLevelType w:val="hybridMultilevel"/>
    <w:tmpl w:val="2878D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591478"/>
    <w:multiLevelType w:val="hybridMultilevel"/>
    <w:tmpl w:val="D55A68D0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2C4DB3"/>
    <w:multiLevelType w:val="hybridMultilevel"/>
    <w:tmpl w:val="EF1C9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037782"/>
    <w:multiLevelType w:val="hybridMultilevel"/>
    <w:tmpl w:val="2E12F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0EE1BF4"/>
    <w:multiLevelType w:val="hybridMultilevel"/>
    <w:tmpl w:val="33D27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40F27F8"/>
    <w:multiLevelType w:val="hybridMultilevel"/>
    <w:tmpl w:val="40BE3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D3BC4"/>
    <w:multiLevelType w:val="multilevel"/>
    <w:tmpl w:val="75BC0E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DD525AD"/>
    <w:multiLevelType w:val="hybridMultilevel"/>
    <w:tmpl w:val="4ED82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9"/>
  </w:num>
  <w:num w:numId="3">
    <w:abstractNumId w:val="34"/>
  </w:num>
  <w:num w:numId="4">
    <w:abstractNumId w:val="45"/>
  </w:num>
  <w:num w:numId="5">
    <w:abstractNumId w:val="35"/>
  </w:num>
  <w:num w:numId="6">
    <w:abstractNumId w:val="29"/>
  </w:num>
  <w:num w:numId="7">
    <w:abstractNumId w:val="11"/>
  </w:num>
  <w:num w:numId="8">
    <w:abstractNumId w:val="25"/>
  </w:num>
  <w:num w:numId="9">
    <w:abstractNumId w:val="39"/>
  </w:num>
  <w:num w:numId="10">
    <w:abstractNumId w:val="7"/>
  </w:num>
  <w:num w:numId="11">
    <w:abstractNumId w:val="9"/>
  </w:num>
  <w:num w:numId="12">
    <w:abstractNumId w:val="12"/>
  </w:num>
  <w:num w:numId="13">
    <w:abstractNumId w:val="36"/>
  </w:num>
  <w:num w:numId="14">
    <w:abstractNumId w:val="15"/>
  </w:num>
  <w:num w:numId="15">
    <w:abstractNumId w:val="6"/>
  </w:num>
  <w:num w:numId="16">
    <w:abstractNumId w:val="13"/>
  </w:num>
  <w:num w:numId="17">
    <w:abstractNumId w:val="22"/>
  </w:num>
  <w:num w:numId="18">
    <w:abstractNumId w:val="32"/>
  </w:num>
  <w:num w:numId="19">
    <w:abstractNumId w:val="16"/>
  </w:num>
  <w:num w:numId="20">
    <w:abstractNumId w:val="24"/>
  </w:num>
  <w:num w:numId="21">
    <w:abstractNumId w:val="37"/>
  </w:num>
  <w:num w:numId="22">
    <w:abstractNumId w:val="38"/>
  </w:num>
  <w:num w:numId="23">
    <w:abstractNumId w:val="1"/>
  </w:num>
  <w:num w:numId="24">
    <w:abstractNumId w:val="40"/>
  </w:num>
  <w:num w:numId="25">
    <w:abstractNumId w:val="20"/>
  </w:num>
  <w:num w:numId="26">
    <w:abstractNumId w:val="2"/>
  </w:num>
  <w:num w:numId="27">
    <w:abstractNumId w:val="41"/>
  </w:num>
  <w:num w:numId="28">
    <w:abstractNumId w:val="10"/>
  </w:num>
  <w:num w:numId="29">
    <w:abstractNumId w:val="23"/>
  </w:num>
  <w:num w:numId="30">
    <w:abstractNumId w:val="26"/>
  </w:num>
  <w:num w:numId="31">
    <w:abstractNumId w:val="3"/>
  </w:num>
  <w:num w:numId="32">
    <w:abstractNumId w:val="8"/>
  </w:num>
  <w:num w:numId="33">
    <w:abstractNumId w:val="30"/>
  </w:num>
  <w:num w:numId="34">
    <w:abstractNumId w:val="27"/>
  </w:num>
  <w:num w:numId="35">
    <w:abstractNumId w:val="4"/>
  </w:num>
  <w:num w:numId="36">
    <w:abstractNumId w:val="33"/>
  </w:num>
  <w:num w:numId="37">
    <w:abstractNumId w:val="43"/>
  </w:num>
  <w:num w:numId="38">
    <w:abstractNumId w:val="5"/>
  </w:num>
  <w:num w:numId="39">
    <w:abstractNumId w:val="21"/>
  </w:num>
  <w:num w:numId="40">
    <w:abstractNumId w:val="14"/>
  </w:num>
  <w:num w:numId="41">
    <w:abstractNumId w:val="48"/>
  </w:num>
  <w:num w:numId="42">
    <w:abstractNumId w:val="18"/>
  </w:num>
  <w:num w:numId="43">
    <w:abstractNumId w:val="31"/>
  </w:num>
  <w:num w:numId="44">
    <w:abstractNumId w:val="28"/>
  </w:num>
  <w:num w:numId="45">
    <w:abstractNumId w:val="0"/>
  </w:num>
  <w:num w:numId="46">
    <w:abstractNumId w:val="44"/>
  </w:num>
  <w:num w:numId="47">
    <w:abstractNumId w:val="42"/>
  </w:num>
  <w:num w:numId="48">
    <w:abstractNumId w:val="47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B5"/>
    <w:rsid w:val="000005E9"/>
    <w:rsid w:val="0000088E"/>
    <w:rsid w:val="00001302"/>
    <w:rsid w:val="00001B34"/>
    <w:rsid w:val="00013A8F"/>
    <w:rsid w:val="00015CA1"/>
    <w:rsid w:val="000163D9"/>
    <w:rsid w:val="000215E1"/>
    <w:rsid w:val="0002343B"/>
    <w:rsid w:val="0002782E"/>
    <w:rsid w:val="000329D4"/>
    <w:rsid w:val="000346E5"/>
    <w:rsid w:val="00034C58"/>
    <w:rsid w:val="00040B1E"/>
    <w:rsid w:val="000415B0"/>
    <w:rsid w:val="00041EB5"/>
    <w:rsid w:val="000461B7"/>
    <w:rsid w:val="00047C23"/>
    <w:rsid w:val="00050191"/>
    <w:rsid w:val="00055A3E"/>
    <w:rsid w:val="00056E6D"/>
    <w:rsid w:val="000640D5"/>
    <w:rsid w:val="0007056C"/>
    <w:rsid w:val="000705EE"/>
    <w:rsid w:val="00076475"/>
    <w:rsid w:val="000768ED"/>
    <w:rsid w:val="000822E7"/>
    <w:rsid w:val="000877A1"/>
    <w:rsid w:val="00087E4C"/>
    <w:rsid w:val="00091018"/>
    <w:rsid w:val="00092278"/>
    <w:rsid w:val="00092756"/>
    <w:rsid w:val="000943B0"/>
    <w:rsid w:val="000958BF"/>
    <w:rsid w:val="000969A7"/>
    <w:rsid w:val="00096C69"/>
    <w:rsid w:val="000A0B20"/>
    <w:rsid w:val="000A2A66"/>
    <w:rsid w:val="000A3F9B"/>
    <w:rsid w:val="000B2693"/>
    <w:rsid w:val="000B41C6"/>
    <w:rsid w:val="000C0404"/>
    <w:rsid w:val="000C438A"/>
    <w:rsid w:val="000D02C0"/>
    <w:rsid w:val="000D0540"/>
    <w:rsid w:val="000D7794"/>
    <w:rsid w:val="000E151D"/>
    <w:rsid w:val="000F02E3"/>
    <w:rsid w:val="000F1090"/>
    <w:rsid w:val="000F1A89"/>
    <w:rsid w:val="000F3200"/>
    <w:rsid w:val="000F526C"/>
    <w:rsid w:val="000F67DD"/>
    <w:rsid w:val="00101852"/>
    <w:rsid w:val="00104060"/>
    <w:rsid w:val="00110635"/>
    <w:rsid w:val="0011300A"/>
    <w:rsid w:val="001133DE"/>
    <w:rsid w:val="00114BAF"/>
    <w:rsid w:val="00116607"/>
    <w:rsid w:val="00116EFA"/>
    <w:rsid w:val="0012194D"/>
    <w:rsid w:val="00124FAB"/>
    <w:rsid w:val="001270F3"/>
    <w:rsid w:val="001326E5"/>
    <w:rsid w:val="00132CB9"/>
    <w:rsid w:val="00133827"/>
    <w:rsid w:val="0013773C"/>
    <w:rsid w:val="00143AC6"/>
    <w:rsid w:val="0014573E"/>
    <w:rsid w:val="00147E19"/>
    <w:rsid w:val="0015291B"/>
    <w:rsid w:val="001557B3"/>
    <w:rsid w:val="00166FAE"/>
    <w:rsid w:val="00167EE3"/>
    <w:rsid w:val="0017240D"/>
    <w:rsid w:val="00172EE5"/>
    <w:rsid w:val="001734F6"/>
    <w:rsid w:val="00174B10"/>
    <w:rsid w:val="00174C93"/>
    <w:rsid w:val="001827DE"/>
    <w:rsid w:val="00182FFA"/>
    <w:rsid w:val="00183274"/>
    <w:rsid w:val="0018491E"/>
    <w:rsid w:val="00187787"/>
    <w:rsid w:val="00191D77"/>
    <w:rsid w:val="00197DF7"/>
    <w:rsid w:val="001A6859"/>
    <w:rsid w:val="001B0020"/>
    <w:rsid w:val="001B714B"/>
    <w:rsid w:val="001C12FD"/>
    <w:rsid w:val="001C6DF5"/>
    <w:rsid w:val="001C7FC5"/>
    <w:rsid w:val="001D3282"/>
    <w:rsid w:val="001D4490"/>
    <w:rsid w:val="001E2B67"/>
    <w:rsid w:val="001F4EF2"/>
    <w:rsid w:val="001F5E68"/>
    <w:rsid w:val="001F6CD4"/>
    <w:rsid w:val="001F71F3"/>
    <w:rsid w:val="00203C46"/>
    <w:rsid w:val="00213144"/>
    <w:rsid w:val="00214CA8"/>
    <w:rsid w:val="00223F9A"/>
    <w:rsid w:val="00224290"/>
    <w:rsid w:val="0022549E"/>
    <w:rsid w:val="00225AAD"/>
    <w:rsid w:val="00225E3C"/>
    <w:rsid w:val="00235A6F"/>
    <w:rsid w:val="00236D44"/>
    <w:rsid w:val="00245A9D"/>
    <w:rsid w:val="00245E41"/>
    <w:rsid w:val="00247009"/>
    <w:rsid w:val="0025551F"/>
    <w:rsid w:val="00264690"/>
    <w:rsid w:val="00275E69"/>
    <w:rsid w:val="00276BA9"/>
    <w:rsid w:val="00277C89"/>
    <w:rsid w:val="00277DC1"/>
    <w:rsid w:val="0028151B"/>
    <w:rsid w:val="0028503C"/>
    <w:rsid w:val="00290832"/>
    <w:rsid w:val="00291F9D"/>
    <w:rsid w:val="002921CA"/>
    <w:rsid w:val="0029670F"/>
    <w:rsid w:val="002A2A37"/>
    <w:rsid w:val="002B0203"/>
    <w:rsid w:val="002B33CD"/>
    <w:rsid w:val="002B5122"/>
    <w:rsid w:val="002B6218"/>
    <w:rsid w:val="002B6E88"/>
    <w:rsid w:val="002C6A24"/>
    <w:rsid w:val="002D0E59"/>
    <w:rsid w:val="002D4F62"/>
    <w:rsid w:val="002D5905"/>
    <w:rsid w:val="002D64B1"/>
    <w:rsid w:val="002E0D18"/>
    <w:rsid w:val="002E30D8"/>
    <w:rsid w:val="002E61DF"/>
    <w:rsid w:val="002F08F7"/>
    <w:rsid w:val="002F114E"/>
    <w:rsid w:val="002F570F"/>
    <w:rsid w:val="002F71D9"/>
    <w:rsid w:val="002F7ABF"/>
    <w:rsid w:val="00301A75"/>
    <w:rsid w:val="00303D8B"/>
    <w:rsid w:val="00305922"/>
    <w:rsid w:val="00311065"/>
    <w:rsid w:val="003169B2"/>
    <w:rsid w:val="00322F1D"/>
    <w:rsid w:val="00325458"/>
    <w:rsid w:val="00330214"/>
    <w:rsid w:val="003331BF"/>
    <w:rsid w:val="00334D26"/>
    <w:rsid w:val="00335ACC"/>
    <w:rsid w:val="00343D68"/>
    <w:rsid w:val="00344DE2"/>
    <w:rsid w:val="00363667"/>
    <w:rsid w:val="00367F82"/>
    <w:rsid w:val="00377E53"/>
    <w:rsid w:val="00380FC5"/>
    <w:rsid w:val="003876B0"/>
    <w:rsid w:val="0039081E"/>
    <w:rsid w:val="00393F39"/>
    <w:rsid w:val="00395E9C"/>
    <w:rsid w:val="0039616E"/>
    <w:rsid w:val="003B504D"/>
    <w:rsid w:val="003C29C0"/>
    <w:rsid w:val="003C2BE8"/>
    <w:rsid w:val="003C2E1C"/>
    <w:rsid w:val="003C657D"/>
    <w:rsid w:val="003E24C2"/>
    <w:rsid w:val="003F4DFC"/>
    <w:rsid w:val="003F7735"/>
    <w:rsid w:val="00400B7A"/>
    <w:rsid w:val="00411D3F"/>
    <w:rsid w:val="0041522C"/>
    <w:rsid w:val="00420E37"/>
    <w:rsid w:val="00420EA0"/>
    <w:rsid w:val="00422FEF"/>
    <w:rsid w:val="0042543F"/>
    <w:rsid w:val="00426B7C"/>
    <w:rsid w:val="004278E5"/>
    <w:rsid w:val="00432359"/>
    <w:rsid w:val="0043406B"/>
    <w:rsid w:val="00441CD3"/>
    <w:rsid w:val="004432B0"/>
    <w:rsid w:val="00443484"/>
    <w:rsid w:val="00443E2B"/>
    <w:rsid w:val="00444133"/>
    <w:rsid w:val="00444266"/>
    <w:rsid w:val="0044669E"/>
    <w:rsid w:val="00452447"/>
    <w:rsid w:val="00454E84"/>
    <w:rsid w:val="0045509E"/>
    <w:rsid w:val="00462553"/>
    <w:rsid w:val="00466FF6"/>
    <w:rsid w:val="0048125B"/>
    <w:rsid w:val="0048276B"/>
    <w:rsid w:val="00482B9A"/>
    <w:rsid w:val="0048435D"/>
    <w:rsid w:val="004845E9"/>
    <w:rsid w:val="0048670A"/>
    <w:rsid w:val="004869FA"/>
    <w:rsid w:val="004937DA"/>
    <w:rsid w:val="0049462F"/>
    <w:rsid w:val="00497D41"/>
    <w:rsid w:val="004A1440"/>
    <w:rsid w:val="004A1D01"/>
    <w:rsid w:val="004A432E"/>
    <w:rsid w:val="004A7F02"/>
    <w:rsid w:val="004B135B"/>
    <w:rsid w:val="004B2049"/>
    <w:rsid w:val="004B2380"/>
    <w:rsid w:val="004B3D1E"/>
    <w:rsid w:val="004B59AA"/>
    <w:rsid w:val="004D1649"/>
    <w:rsid w:val="004E077B"/>
    <w:rsid w:val="004F15D7"/>
    <w:rsid w:val="004F644B"/>
    <w:rsid w:val="004F797D"/>
    <w:rsid w:val="004F7F8D"/>
    <w:rsid w:val="00501473"/>
    <w:rsid w:val="0050200C"/>
    <w:rsid w:val="00504232"/>
    <w:rsid w:val="0051442C"/>
    <w:rsid w:val="00514703"/>
    <w:rsid w:val="00520481"/>
    <w:rsid w:val="005242BE"/>
    <w:rsid w:val="00532096"/>
    <w:rsid w:val="0053312A"/>
    <w:rsid w:val="00536F46"/>
    <w:rsid w:val="0054680E"/>
    <w:rsid w:val="00546EC5"/>
    <w:rsid w:val="00547D93"/>
    <w:rsid w:val="00552BC3"/>
    <w:rsid w:val="00555775"/>
    <w:rsid w:val="00561481"/>
    <w:rsid w:val="00561F9D"/>
    <w:rsid w:val="0057028D"/>
    <w:rsid w:val="00571EF9"/>
    <w:rsid w:val="00573304"/>
    <w:rsid w:val="00573A20"/>
    <w:rsid w:val="00577444"/>
    <w:rsid w:val="00580623"/>
    <w:rsid w:val="005849BF"/>
    <w:rsid w:val="005857A0"/>
    <w:rsid w:val="00587890"/>
    <w:rsid w:val="005933CC"/>
    <w:rsid w:val="005A034F"/>
    <w:rsid w:val="005A11F6"/>
    <w:rsid w:val="005A3009"/>
    <w:rsid w:val="005A4636"/>
    <w:rsid w:val="005B1CB0"/>
    <w:rsid w:val="005B57C4"/>
    <w:rsid w:val="005B5B32"/>
    <w:rsid w:val="005C189A"/>
    <w:rsid w:val="005C3C4A"/>
    <w:rsid w:val="005C6E8F"/>
    <w:rsid w:val="005C7076"/>
    <w:rsid w:val="005C79E6"/>
    <w:rsid w:val="005D3412"/>
    <w:rsid w:val="005D37DD"/>
    <w:rsid w:val="005D46B8"/>
    <w:rsid w:val="005D543B"/>
    <w:rsid w:val="005E1154"/>
    <w:rsid w:val="005E3B40"/>
    <w:rsid w:val="005E49F7"/>
    <w:rsid w:val="005E73DC"/>
    <w:rsid w:val="005F3A6B"/>
    <w:rsid w:val="005F7F0D"/>
    <w:rsid w:val="00605B28"/>
    <w:rsid w:val="00613AC0"/>
    <w:rsid w:val="0062153D"/>
    <w:rsid w:val="00623C97"/>
    <w:rsid w:val="00623F8B"/>
    <w:rsid w:val="006349AA"/>
    <w:rsid w:val="00635FE7"/>
    <w:rsid w:val="00636C17"/>
    <w:rsid w:val="006412AB"/>
    <w:rsid w:val="00641E08"/>
    <w:rsid w:val="006425C6"/>
    <w:rsid w:val="00643DD9"/>
    <w:rsid w:val="00646B15"/>
    <w:rsid w:val="006612AB"/>
    <w:rsid w:val="00661F92"/>
    <w:rsid w:val="00663D02"/>
    <w:rsid w:val="00666791"/>
    <w:rsid w:val="00681B94"/>
    <w:rsid w:val="0068222F"/>
    <w:rsid w:val="006829BE"/>
    <w:rsid w:val="00682A5C"/>
    <w:rsid w:val="00687527"/>
    <w:rsid w:val="00687901"/>
    <w:rsid w:val="006A3177"/>
    <w:rsid w:val="006B4A66"/>
    <w:rsid w:val="006B53CD"/>
    <w:rsid w:val="006B7D62"/>
    <w:rsid w:val="006C386D"/>
    <w:rsid w:val="006C4C11"/>
    <w:rsid w:val="006D1CA5"/>
    <w:rsid w:val="006D36B8"/>
    <w:rsid w:val="006D3DEB"/>
    <w:rsid w:val="006D79C2"/>
    <w:rsid w:val="006E3131"/>
    <w:rsid w:val="006F166A"/>
    <w:rsid w:val="006F27B5"/>
    <w:rsid w:val="006F2CD4"/>
    <w:rsid w:val="006F3100"/>
    <w:rsid w:val="006F7A18"/>
    <w:rsid w:val="0070180E"/>
    <w:rsid w:val="00701E7D"/>
    <w:rsid w:val="0070376F"/>
    <w:rsid w:val="007103B0"/>
    <w:rsid w:val="00712A69"/>
    <w:rsid w:val="0071705B"/>
    <w:rsid w:val="00722C1A"/>
    <w:rsid w:val="00723705"/>
    <w:rsid w:val="00725229"/>
    <w:rsid w:val="00726407"/>
    <w:rsid w:val="00732CE1"/>
    <w:rsid w:val="007378D4"/>
    <w:rsid w:val="00737DCD"/>
    <w:rsid w:val="00740C8F"/>
    <w:rsid w:val="00742EE6"/>
    <w:rsid w:val="0074407A"/>
    <w:rsid w:val="00744ECF"/>
    <w:rsid w:val="00746D29"/>
    <w:rsid w:val="00754365"/>
    <w:rsid w:val="00757D7A"/>
    <w:rsid w:val="0076221B"/>
    <w:rsid w:val="00762AF0"/>
    <w:rsid w:val="0076408E"/>
    <w:rsid w:val="0076652B"/>
    <w:rsid w:val="00767935"/>
    <w:rsid w:val="007725C3"/>
    <w:rsid w:val="00780E3B"/>
    <w:rsid w:val="00783AEA"/>
    <w:rsid w:val="00795326"/>
    <w:rsid w:val="007A1CEA"/>
    <w:rsid w:val="007A447D"/>
    <w:rsid w:val="007A5E6E"/>
    <w:rsid w:val="007B62C1"/>
    <w:rsid w:val="007B6DD8"/>
    <w:rsid w:val="007D171D"/>
    <w:rsid w:val="007D6303"/>
    <w:rsid w:val="007E45F0"/>
    <w:rsid w:val="007F0CF6"/>
    <w:rsid w:val="007F2B8D"/>
    <w:rsid w:val="007F39AD"/>
    <w:rsid w:val="00803F8F"/>
    <w:rsid w:val="00806337"/>
    <w:rsid w:val="00812190"/>
    <w:rsid w:val="00813DBF"/>
    <w:rsid w:val="00817921"/>
    <w:rsid w:val="00820671"/>
    <w:rsid w:val="00826C9A"/>
    <w:rsid w:val="00827CDD"/>
    <w:rsid w:val="008449B8"/>
    <w:rsid w:val="00850256"/>
    <w:rsid w:val="00854387"/>
    <w:rsid w:val="00860333"/>
    <w:rsid w:val="008625C0"/>
    <w:rsid w:val="008632E3"/>
    <w:rsid w:val="00866C1C"/>
    <w:rsid w:val="0086775D"/>
    <w:rsid w:val="0086777C"/>
    <w:rsid w:val="0087112A"/>
    <w:rsid w:val="008728C6"/>
    <w:rsid w:val="0087487D"/>
    <w:rsid w:val="00874A73"/>
    <w:rsid w:val="0087732E"/>
    <w:rsid w:val="00883557"/>
    <w:rsid w:val="008A0B2B"/>
    <w:rsid w:val="008A2ECE"/>
    <w:rsid w:val="008B3EB1"/>
    <w:rsid w:val="008B52DA"/>
    <w:rsid w:val="008B547A"/>
    <w:rsid w:val="008C1CD4"/>
    <w:rsid w:val="008C2285"/>
    <w:rsid w:val="008C2AFC"/>
    <w:rsid w:val="008C2F19"/>
    <w:rsid w:val="008C7706"/>
    <w:rsid w:val="008C7CF8"/>
    <w:rsid w:val="008D3EA3"/>
    <w:rsid w:val="008D7F1F"/>
    <w:rsid w:val="008E27E7"/>
    <w:rsid w:val="008E7537"/>
    <w:rsid w:val="008F79BB"/>
    <w:rsid w:val="00907014"/>
    <w:rsid w:val="00911444"/>
    <w:rsid w:val="00914FF9"/>
    <w:rsid w:val="00916271"/>
    <w:rsid w:val="00916846"/>
    <w:rsid w:val="00917EAC"/>
    <w:rsid w:val="009224AF"/>
    <w:rsid w:val="00927F89"/>
    <w:rsid w:val="00931BA6"/>
    <w:rsid w:val="00933685"/>
    <w:rsid w:val="00935CDB"/>
    <w:rsid w:val="00936284"/>
    <w:rsid w:val="009363C9"/>
    <w:rsid w:val="00941922"/>
    <w:rsid w:val="00942EF8"/>
    <w:rsid w:val="00946EC2"/>
    <w:rsid w:val="00966E4B"/>
    <w:rsid w:val="009720E4"/>
    <w:rsid w:val="0097368A"/>
    <w:rsid w:val="00974422"/>
    <w:rsid w:val="00974E25"/>
    <w:rsid w:val="00975C78"/>
    <w:rsid w:val="00976A5E"/>
    <w:rsid w:val="00983F54"/>
    <w:rsid w:val="0098769C"/>
    <w:rsid w:val="00991937"/>
    <w:rsid w:val="009975E4"/>
    <w:rsid w:val="009A3833"/>
    <w:rsid w:val="009A3E5B"/>
    <w:rsid w:val="009A5C06"/>
    <w:rsid w:val="009B4D36"/>
    <w:rsid w:val="009C2AC7"/>
    <w:rsid w:val="009D5241"/>
    <w:rsid w:val="009D661A"/>
    <w:rsid w:val="009F06DB"/>
    <w:rsid w:val="00A04E3B"/>
    <w:rsid w:val="00A07E45"/>
    <w:rsid w:val="00A104C5"/>
    <w:rsid w:val="00A10EEA"/>
    <w:rsid w:val="00A17C08"/>
    <w:rsid w:val="00A2222F"/>
    <w:rsid w:val="00A22986"/>
    <w:rsid w:val="00A24DE9"/>
    <w:rsid w:val="00A42A21"/>
    <w:rsid w:val="00A44AF5"/>
    <w:rsid w:val="00A47A34"/>
    <w:rsid w:val="00A47B45"/>
    <w:rsid w:val="00A47F3A"/>
    <w:rsid w:val="00A52387"/>
    <w:rsid w:val="00A615D5"/>
    <w:rsid w:val="00A61EEF"/>
    <w:rsid w:val="00A73D84"/>
    <w:rsid w:val="00A827AD"/>
    <w:rsid w:val="00A841D5"/>
    <w:rsid w:val="00A866A7"/>
    <w:rsid w:val="00A87D23"/>
    <w:rsid w:val="00A903F8"/>
    <w:rsid w:val="00A9068D"/>
    <w:rsid w:val="00A9164E"/>
    <w:rsid w:val="00A92F94"/>
    <w:rsid w:val="00AA31A3"/>
    <w:rsid w:val="00AB1967"/>
    <w:rsid w:val="00AB50C4"/>
    <w:rsid w:val="00AC5240"/>
    <w:rsid w:val="00AD3007"/>
    <w:rsid w:val="00AE14BC"/>
    <w:rsid w:val="00AE2D5D"/>
    <w:rsid w:val="00AE2EDB"/>
    <w:rsid w:val="00AE4A46"/>
    <w:rsid w:val="00AE4AD5"/>
    <w:rsid w:val="00AE6787"/>
    <w:rsid w:val="00AE70E7"/>
    <w:rsid w:val="00AF19AC"/>
    <w:rsid w:val="00AF467C"/>
    <w:rsid w:val="00AF61B6"/>
    <w:rsid w:val="00AF7204"/>
    <w:rsid w:val="00B031E9"/>
    <w:rsid w:val="00B03E73"/>
    <w:rsid w:val="00B04FDE"/>
    <w:rsid w:val="00B0732E"/>
    <w:rsid w:val="00B10991"/>
    <w:rsid w:val="00B155D1"/>
    <w:rsid w:val="00B2212B"/>
    <w:rsid w:val="00B238F3"/>
    <w:rsid w:val="00B27114"/>
    <w:rsid w:val="00B27EBC"/>
    <w:rsid w:val="00B30783"/>
    <w:rsid w:val="00B33D79"/>
    <w:rsid w:val="00B3616B"/>
    <w:rsid w:val="00B4123C"/>
    <w:rsid w:val="00B414B0"/>
    <w:rsid w:val="00B43E8C"/>
    <w:rsid w:val="00B46493"/>
    <w:rsid w:val="00B5057B"/>
    <w:rsid w:val="00B57E95"/>
    <w:rsid w:val="00B716A9"/>
    <w:rsid w:val="00B72B9F"/>
    <w:rsid w:val="00B735B5"/>
    <w:rsid w:val="00B73BDD"/>
    <w:rsid w:val="00B75E4B"/>
    <w:rsid w:val="00B75FB6"/>
    <w:rsid w:val="00B771D9"/>
    <w:rsid w:val="00B85EAE"/>
    <w:rsid w:val="00B93E85"/>
    <w:rsid w:val="00B94C2D"/>
    <w:rsid w:val="00B96E8F"/>
    <w:rsid w:val="00BA099D"/>
    <w:rsid w:val="00BA5B22"/>
    <w:rsid w:val="00BA63FA"/>
    <w:rsid w:val="00BA68E3"/>
    <w:rsid w:val="00BA77C2"/>
    <w:rsid w:val="00BB2C73"/>
    <w:rsid w:val="00BB3548"/>
    <w:rsid w:val="00BC0769"/>
    <w:rsid w:val="00BC0839"/>
    <w:rsid w:val="00BC240C"/>
    <w:rsid w:val="00BC2B41"/>
    <w:rsid w:val="00BD3E1D"/>
    <w:rsid w:val="00BE5A39"/>
    <w:rsid w:val="00BF11E5"/>
    <w:rsid w:val="00BF256F"/>
    <w:rsid w:val="00BF3D2B"/>
    <w:rsid w:val="00BF534B"/>
    <w:rsid w:val="00BF5D33"/>
    <w:rsid w:val="00BF61B5"/>
    <w:rsid w:val="00C00D55"/>
    <w:rsid w:val="00C02C12"/>
    <w:rsid w:val="00C04F70"/>
    <w:rsid w:val="00C1050A"/>
    <w:rsid w:val="00C105AE"/>
    <w:rsid w:val="00C133E3"/>
    <w:rsid w:val="00C171A0"/>
    <w:rsid w:val="00C22658"/>
    <w:rsid w:val="00C231E2"/>
    <w:rsid w:val="00C23DD9"/>
    <w:rsid w:val="00C3116B"/>
    <w:rsid w:val="00C31B97"/>
    <w:rsid w:val="00C32D54"/>
    <w:rsid w:val="00C33C76"/>
    <w:rsid w:val="00C34743"/>
    <w:rsid w:val="00C364A2"/>
    <w:rsid w:val="00C410FF"/>
    <w:rsid w:val="00C438E5"/>
    <w:rsid w:val="00C4702F"/>
    <w:rsid w:val="00C51908"/>
    <w:rsid w:val="00C51EC4"/>
    <w:rsid w:val="00C53A00"/>
    <w:rsid w:val="00C53B77"/>
    <w:rsid w:val="00C556A2"/>
    <w:rsid w:val="00C55C12"/>
    <w:rsid w:val="00C6404A"/>
    <w:rsid w:val="00C64773"/>
    <w:rsid w:val="00C64D4D"/>
    <w:rsid w:val="00C65C96"/>
    <w:rsid w:val="00C75EAF"/>
    <w:rsid w:val="00C76272"/>
    <w:rsid w:val="00C76DB7"/>
    <w:rsid w:val="00C81A44"/>
    <w:rsid w:val="00C846EE"/>
    <w:rsid w:val="00C94935"/>
    <w:rsid w:val="00C95E2F"/>
    <w:rsid w:val="00C96532"/>
    <w:rsid w:val="00CA374E"/>
    <w:rsid w:val="00CA6418"/>
    <w:rsid w:val="00CB135C"/>
    <w:rsid w:val="00CB35E2"/>
    <w:rsid w:val="00CB3807"/>
    <w:rsid w:val="00CB462A"/>
    <w:rsid w:val="00CC7C4F"/>
    <w:rsid w:val="00CC7DCE"/>
    <w:rsid w:val="00CD0B62"/>
    <w:rsid w:val="00CD2502"/>
    <w:rsid w:val="00CD650E"/>
    <w:rsid w:val="00CD6A56"/>
    <w:rsid w:val="00CD6E09"/>
    <w:rsid w:val="00CD7342"/>
    <w:rsid w:val="00CE3A8B"/>
    <w:rsid w:val="00CE40E8"/>
    <w:rsid w:val="00CF183D"/>
    <w:rsid w:val="00CF3DD3"/>
    <w:rsid w:val="00CF3F49"/>
    <w:rsid w:val="00CF507D"/>
    <w:rsid w:val="00CF758B"/>
    <w:rsid w:val="00D035D1"/>
    <w:rsid w:val="00D06ECC"/>
    <w:rsid w:val="00D11D0B"/>
    <w:rsid w:val="00D130D3"/>
    <w:rsid w:val="00D132BA"/>
    <w:rsid w:val="00D13D2E"/>
    <w:rsid w:val="00D13E6C"/>
    <w:rsid w:val="00D166F3"/>
    <w:rsid w:val="00D17E2F"/>
    <w:rsid w:val="00D21D2F"/>
    <w:rsid w:val="00D21FFC"/>
    <w:rsid w:val="00D25626"/>
    <w:rsid w:val="00D25FD7"/>
    <w:rsid w:val="00D2664F"/>
    <w:rsid w:val="00D33F2A"/>
    <w:rsid w:val="00D4009D"/>
    <w:rsid w:val="00D4461D"/>
    <w:rsid w:val="00D44733"/>
    <w:rsid w:val="00D539EC"/>
    <w:rsid w:val="00D557F9"/>
    <w:rsid w:val="00D61127"/>
    <w:rsid w:val="00D6523A"/>
    <w:rsid w:val="00D67E13"/>
    <w:rsid w:val="00D77D66"/>
    <w:rsid w:val="00D80A3D"/>
    <w:rsid w:val="00D80EB6"/>
    <w:rsid w:val="00D8180C"/>
    <w:rsid w:val="00D843F7"/>
    <w:rsid w:val="00D86DF6"/>
    <w:rsid w:val="00D870FF"/>
    <w:rsid w:val="00D877E9"/>
    <w:rsid w:val="00D87BB3"/>
    <w:rsid w:val="00D87D6B"/>
    <w:rsid w:val="00D90510"/>
    <w:rsid w:val="00D9102B"/>
    <w:rsid w:val="00D941E0"/>
    <w:rsid w:val="00D95B78"/>
    <w:rsid w:val="00D965CD"/>
    <w:rsid w:val="00DA11D5"/>
    <w:rsid w:val="00DB1131"/>
    <w:rsid w:val="00DB2393"/>
    <w:rsid w:val="00DB2818"/>
    <w:rsid w:val="00DB3A82"/>
    <w:rsid w:val="00DC3BAC"/>
    <w:rsid w:val="00DD27CE"/>
    <w:rsid w:val="00DD791C"/>
    <w:rsid w:val="00DE1C6C"/>
    <w:rsid w:val="00DE5E29"/>
    <w:rsid w:val="00DE6371"/>
    <w:rsid w:val="00DE6658"/>
    <w:rsid w:val="00DF41F3"/>
    <w:rsid w:val="00E0319A"/>
    <w:rsid w:val="00E0493A"/>
    <w:rsid w:val="00E05A85"/>
    <w:rsid w:val="00E06965"/>
    <w:rsid w:val="00E10A45"/>
    <w:rsid w:val="00E123B3"/>
    <w:rsid w:val="00E175BC"/>
    <w:rsid w:val="00E21647"/>
    <w:rsid w:val="00E2330E"/>
    <w:rsid w:val="00E23796"/>
    <w:rsid w:val="00E25F8C"/>
    <w:rsid w:val="00E30528"/>
    <w:rsid w:val="00E30C93"/>
    <w:rsid w:val="00E35C2A"/>
    <w:rsid w:val="00E37F53"/>
    <w:rsid w:val="00E5051D"/>
    <w:rsid w:val="00E5274C"/>
    <w:rsid w:val="00E55F41"/>
    <w:rsid w:val="00E56D65"/>
    <w:rsid w:val="00E60002"/>
    <w:rsid w:val="00E606B0"/>
    <w:rsid w:val="00E71FA4"/>
    <w:rsid w:val="00E812B4"/>
    <w:rsid w:val="00E901F3"/>
    <w:rsid w:val="00E92B67"/>
    <w:rsid w:val="00E9303F"/>
    <w:rsid w:val="00E94600"/>
    <w:rsid w:val="00E946D4"/>
    <w:rsid w:val="00EA3E4C"/>
    <w:rsid w:val="00EA60E3"/>
    <w:rsid w:val="00EB122C"/>
    <w:rsid w:val="00EB1A82"/>
    <w:rsid w:val="00EB2F8B"/>
    <w:rsid w:val="00EB4E92"/>
    <w:rsid w:val="00EC1022"/>
    <w:rsid w:val="00EC1F14"/>
    <w:rsid w:val="00EC28CF"/>
    <w:rsid w:val="00EC2EE0"/>
    <w:rsid w:val="00EC5279"/>
    <w:rsid w:val="00EC67CB"/>
    <w:rsid w:val="00ED2C8E"/>
    <w:rsid w:val="00EE6F42"/>
    <w:rsid w:val="00EE780D"/>
    <w:rsid w:val="00EF07A4"/>
    <w:rsid w:val="00EF34A8"/>
    <w:rsid w:val="00EF4509"/>
    <w:rsid w:val="00EF47DE"/>
    <w:rsid w:val="00EF6C58"/>
    <w:rsid w:val="00EF70B0"/>
    <w:rsid w:val="00EF7296"/>
    <w:rsid w:val="00F010F1"/>
    <w:rsid w:val="00F07539"/>
    <w:rsid w:val="00F10065"/>
    <w:rsid w:val="00F12058"/>
    <w:rsid w:val="00F15C24"/>
    <w:rsid w:val="00F1656A"/>
    <w:rsid w:val="00F176E2"/>
    <w:rsid w:val="00F206FF"/>
    <w:rsid w:val="00F26F84"/>
    <w:rsid w:val="00F3409E"/>
    <w:rsid w:val="00F34E5B"/>
    <w:rsid w:val="00F36027"/>
    <w:rsid w:val="00F363BF"/>
    <w:rsid w:val="00F40531"/>
    <w:rsid w:val="00F422AF"/>
    <w:rsid w:val="00F42B58"/>
    <w:rsid w:val="00F46682"/>
    <w:rsid w:val="00F50C4D"/>
    <w:rsid w:val="00F51F3A"/>
    <w:rsid w:val="00F57013"/>
    <w:rsid w:val="00F64959"/>
    <w:rsid w:val="00F672C4"/>
    <w:rsid w:val="00F67AEB"/>
    <w:rsid w:val="00F73CA5"/>
    <w:rsid w:val="00F75E3F"/>
    <w:rsid w:val="00F86C34"/>
    <w:rsid w:val="00FB044E"/>
    <w:rsid w:val="00FB2C3F"/>
    <w:rsid w:val="00FB6188"/>
    <w:rsid w:val="00FC0D29"/>
    <w:rsid w:val="00FC37C7"/>
    <w:rsid w:val="00FC68A9"/>
    <w:rsid w:val="00FD4629"/>
    <w:rsid w:val="00FD67F9"/>
    <w:rsid w:val="00FE323E"/>
    <w:rsid w:val="00FE7A35"/>
    <w:rsid w:val="00FE7FBA"/>
    <w:rsid w:val="00FF198F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4A561"/>
  <w15:docId w15:val="{808202E3-C8FE-40BC-BF96-A8284E88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38A"/>
    <w:pPr>
      <w:spacing w:after="0" w:line="240" w:lineRule="auto"/>
      <w:jc w:val="both"/>
    </w:pPr>
    <w:rPr>
      <w:rFonts w:eastAsia="Times New Roman" w:cs="Times New Roman"/>
      <w:sz w:val="4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rsid w:val="005857A0"/>
    <w:pPr>
      <w:ind w:left="720"/>
    </w:pPr>
    <w:rPr>
      <w:rFonts w:ascii="Courier New" w:hAnsi="Courier New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customStyle="1" w:styleId="R-14">
    <w:name w:val="R-14"/>
    <w:basedOn w:val="Normal"/>
    <w:autoRedefine/>
    <w:qFormat/>
    <w:rsid w:val="006F7A18"/>
    <w:pPr>
      <w:ind w:left="1440" w:hanging="720"/>
      <w:jc w:val="left"/>
    </w:pPr>
    <w:rPr>
      <w:rFonts w:ascii="Courier New" w:hAnsi="Courier New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F2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7B5"/>
    <w:rPr>
      <w:rFonts w:eastAsia="Times New Roman" w:cs="Times New Roman"/>
      <w:sz w:val="40"/>
      <w:szCs w:val="20"/>
    </w:rPr>
  </w:style>
  <w:style w:type="paragraph" w:styleId="Footer">
    <w:name w:val="footer"/>
    <w:basedOn w:val="Normal"/>
    <w:link w:val="FooterChar"/>
    <w:unhideWhenUsed/>
    <w:rsid w:val="006F2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7B5"/>
    <w:rPr>
      <w:rFonts w:eastAsia="Times New Roman" w:cs="Times New Roman"/>
      <w:sz w:val="40"/>
      <w:szCs w:val="20"/>
    </w:rPr>
  </w:style>
  <w:style w:type="paragraph" w:styleId="BodyTextIndent">
    <w:name w:val="Body Text Indent"/>
    <w:basedOn w:val="Normal"/>
    <w:link w:val="BodyTextIndentChar"/>
    <w:rsid w:val="008F79BB"/>
    <w:pPr>
      <w:ind w:left="720"/>
    </w:pPr>
    <w:rPr>
      <w:rFonts w:cs="Arial"/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8F79BB"/>
    <w:rPr>
      <w:rFonts w:eastAsia="Times New Roman" w:cs="Arial"/>
      <w:sz w:val="40"/>
      <w:szCs w:val="40"/>
    </w:rPr>
  </w:style>
  <w:style w:type="table" w:styleId="TableGrid">
    <w:name w:val="Table Grid"/>
    <w:basedOn w:val="TableNormal"/>
    <w:uiPriority w:val="59"/>
    <w:rsid w:val="00D1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04F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4F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F7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649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1649"/>
    <w:pPr>
      <w:spacing w:after="0" w:line="240" w:lineRule="auto"/>
    </w:pPr>
    <w:rPr>
      <w:rFonts w:eastAsia="Times New Roman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6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D941E0"/>
    <w:rPr>
      <w:color w:val="0000FF"/>
      <w:u w:val="single"/>
    </w:rPr>
  </w:style>
  <w:style w:type="paragraph" w:customStyle="1" w:styleId="R">
    <w:name w:val="R"/>
    <w:basedOn w:val="Normal"/>
    <w:qFormat/>
    <w:rsid w:val="00D941E0"/>
    <w:pPr>
      <w:ind w:left="576"/>
    </w:pPr>
    <w:rPr>
      <w:rFonts w:ascii="Courier New" w:hAnsi="Courier New" w:cs="Arial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941E0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87527"/>
    <w:rPr>
      <w:rFonts w:eastAsia="Times New Roman" w:cs="Times New Roman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47807-B498-4DED-A023-E6E04983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Chris2</dc:creator>
  <cp:lastModifiedBy>Chris Bilder</cp:lastModifiedBy>
  <cp:revision>17</cp:revision>
  <cp:lastPrinted>2012-03-08T16:32:00Z</cp:lastPrinted>
  <dcterms:created xsi:type="dcterms:W3CDTF">2022-12-30T16:02:00Z</dcterms:created>
  <dcterms:modified xsi:type="dcterms:W3CDTF">2023-01-20T04:07:00Z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